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2026-09-08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3944.73</w:t>
            </w:r>
          </w:p>
        </w:tc>
        <w:tc>
          <w:tcPr>
            <w:tcW w:type="dxa" w:w="2160"/>
          </w:tcPr>
          <w:p>
            <w:r>
              <w:t>+0.31%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13831.18</w:t>
            </w:r>
          </w:p>
        </w:tc>
        <w:tc>
          <w:tcPr>
            <w:tcW w:type="dxa" w:w="2160"/>
          </w:tcPr>
          <w:p>
            <w:r>
              <w:t>+0.41%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3413.70</w:t>
            </w:r>
          </w:p>
        </w:tc>
        <w:tc>
          <w:tcPr>
            <w:tcW w:type="dxa" w:w="2160"/>
          </w:tcPr>
          <w:p>
            <w:r>
              <w:t>+0.44%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1620.58</w:t>
            </w:r>
          </w:p>
        </w:tc>
        <w:tc>
          <w:tcPr>
            <w:tcW w:type="dxa" w:w="2160"/>
          </w:tcPr>
          <w:p>
            <w:r>
              <w:t>+0.31%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4584.25</w:t>
            </w:r>
          </w:p>
        </w:tc>
        <w:tc>
          <w:tcPr>
            <w:tcW w:type="dxa" w:w="2160"/>
          </w:tcPr>
          <w:p>
            <w:r>
              <w:t>+0.20%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7821.03</w:t>
            </w:r>
          </w:p>
        </w:tc>
        <w:tc>
          <w:tcPr>
            <w:tcW w:type="dxa" w:w="2160"/>
          </w:tcPr>
          <w:p>
            <w:r>
              <w:t>+0.79%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28.3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-34.03 亿  |  大单净 -36.45 亿  |  涨家 5 / 跌家 25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A股早盘分析报告（10:30 开盘后1小时）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本时段核心变化是：指数红盘但大单资金净流出36亿，农业/教育板块接棒但板块轮动过快，内盘逆外部走强需警惕背离补跌。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A股三大指数集体小幅上涨，上证+0.31%报3944.73，深成指+0.41%，创业板指+0.44%，中证500以+0.79%领涨，沪深300仅+0.20%垫底——资金明显偏向中小盘，权重蓝筹参与度不足。尽管外部环境偏空（美股三线收跌、港股恒生科技-1.01%、恒指-0.53%），A股逆势飘红，呈现“内盘顽强、外盘弱势”的背离格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：540涨/439跌/21平，上涨占比54.0%——中性偏强，但涨停仅5家，赚钱效应集中度低，做多热情未充分点燃。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：全市场约9387亿（开盘1小时），量能尚可，但较昨日同期深成指/创业板指涨幅大幅收窄（分别-0.79pp/-1.72pp），量价配合度下降。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：港股通净买入+28.3亿，较昨日同期+15.0亿扩大，逼近30亿警戒线。沪市南向+15.8亿，深市南向+12.5亿。南向持续净流入=内资外流迹象，对A股情绪构成反向压制。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大单资金流</w:t>
      </w:r>
      <w:r>
        <w:rPr>
          <w:rFonts w:ascii="微软雅黑" w:hAnsi="微软雅黑" w:eastAsia="微软雅黑"/>
          <w:color w:val="1A1A1A"/>
          <w:sz w:val="22"/>
        </w:rPr>
        <w:t>：样本30只中，大单净额-36.45亿，流出家数25/流入仅5——大资金在撤退，与小单推动的中小盘上涨形成背离。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：恒生科技-1.01%（强看空）+恒生指数-0.53%（中等看空）+离岸人民币中性，外部共识-4.8承压。指数上行与外部下跌背离，短期偏多但持续力存疑。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（较上一时段完全替换）：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教育运营及其他 +8.55%（博瑞传播领涨）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粮食种植 +8.18%（苏垦农发）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学历教育 +6.41%（国脉科技）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大众出版 +5.33%（读者传媒）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其他农产品加工 +5.13%（中粮科技）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氮肥 +5.07%（泸天化）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其他种植业 +4.64%（亚盛集团）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驱动分析</w:t>
      </w:r>
      <w:r>
        <w:rPr>
          <w:rFonts w:ascii="微软雅黑" w:hAnsi="微软雅黑" w:eastAsia="微软雅黑"/>
          <w:color w:val="1A1A1A"/>
          <w:sz w:val="22"/>
        </w:rPr>
        <w:t>：农业链（粮食、种子、种植业、农化制品）+教育/出版形成当日主线，可能与粮食安全政策预期、农产品涨价传导以及教育板块超跌反弹有关。但领涨板块较上一时段完全轮换（昨日领涨的船舶制造、传媒娱乐、玻璃已退潮），轮动速度过快，持续性差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：高争民爆-9.99%、深水海纳-14.68%、C天博-13.55%，部分高位次新/题材股回撤明显，资金从前期热门撤退。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：3944点，逼近3950-4000强阻力区。指数开盘3935.55，低开后缓步推升，但较昨日同期+0.40pp意味着动能仍在但斜率趋缓，需关注能否放量突破上方压力。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：+0.79%表现最强，7821点，突破短期均线压制，中小盘技术形态优于权重，但依赖情绪面而非资金面支撑。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</w:t>
      </w:r>
      <w:r>
        <w:rPr>
          <w:rFonts w:ascii="微软雅黑" w:hAnsi="微软雅黑" w:eastAsia="微软雅黑"/>
          <w:color w:val="1A1A1A"/>
          <w:sz w:val="22"/>
        </w:rPr>
        <w:t>：+0.20%横盘延续，4584点，权重蓝筹明显滞后，市场缺乏主力增量资金参与。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：指数上涨+大单净流出，典型“散户/游资推动、机构撤退”格局。若无法有效放量，上涨多为脉冲性行情。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：上涨占比54%，宽度中性偏弱，涨停5家/跌停3家，情绪温度不高，与指数涨幅不匹配。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：大单净流出-36.45亿，25/30样本外流，机构态度谨慎。南向+28.3亿进一步吸走内资流动性，港股虹吸效应显现。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：指数红盘+大单净流出+板块轮动过快=典型动能衰竭前兆。虽较上一时段指数加速（+0.31pp），但边际改善主要来自中小盘脉冲，不可持续。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板块轮动信号</w:t>
      </w:r>
      <w:r>
        <w:rPr>
          <w:rFonts w:ascii="微软雅黑" w:hAnsi="微软雅黑" w:eastAsia="微软雅黑"/>
          <w:color w:val="1A1A1A"/>
          <w:sz w:val="22"/>
        </w:rPr>
        <w:t>：连续两个时段领涨板块完全替换，追涨资金反复被套，短线情绪将趋于谨慎。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</w:t>
      </w:r>
      <w:r>
        <w:rPr>
          <w:rFonts w:ascii="微软雅黑" w:hAnsi="微软雅黑" w:eastAsia="微软雅黑"/>
          <w:color w:val="1A1A1A"/>
          <w:sz w:val="22"/>
        </w:rPr>
        <w:t>：7月CPI同比+0.5%（回落0.5pp），PPI+3.5%（回落0.6pp），通胀压力缓解，但农业板块上涨与食品价格传导预期有关，需观察后续CPI食品项变化。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：制造业49.2荣枯线下、服务业49.3，经济基本面承压，与股市上涨缺乏基本面共振。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：M2同比+8.0%、社融同比少增8606亿，LPR连续14个月不变（1年3.0%/5年3.5%），货币政策中性偏松但传导效率下降，市场缺乏增量资金。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：美股三线下跌，港股恒生科技-1.01%领跌，离岸人民币走平，外资方向偏谨慎。本轮反弹更多由内资博弈驱动，但南向流出削弱了这种支撑。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量价背离风险</w:t>
      </w:r>
      <w:r>
        <w:rPr>
          <w:rFonts w:ascii="微软雅黑" w:hAnsi="微软雅黑" w:eastAsia="微软雅黑"/>
          <w:color w:val="1A1A1A"/>
          <w:sz w:val="22"/>
        </w:rPr>
        <w:t>：指数红盘+大单净流出36亿+南向+28.3亿，内外资同步撤退信号明显，若午后无法有效补量，冲高回落概率大。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板块快速轮动风险</w:t>
      </w:r>
      <w:r>
        <w:rPr>
          <w:rFonts w:ascii="微软雅黑" w:hAnsi="微软雅黑" w:eastAsia="微软雅黑"/>
          <w:color w:val="1A1A1A"/>
          <w:sz w:val="22"/>
        </w:rPr>
        <w:t>：连续两时段领涨板块完全替换，说明资金短线博弈、缺乏主线，赚钱效应持续性差。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外部补跌风险</w:t>
      </w:r>
      <w:r>
        <w:rPr>
          <w:rFonts w:ascii="微软雅黑" w:hAnsi="微软雅黑" w:eastAsia="微软雅黑"/>
          <w:color w:val="1A1A1A"/>
          <w:sz w:val="22"/>
        </w:rPr>
        <w:t>：港股/美股走弱，A股逆势上行，但南向资金持续外流显示内资信心不足。恒生科技-1.01%的强看空信号需警惕传导。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高位股杀跌风险</w:t>
      </w:r>
      <w:r>
        <w:rPr>
          <w:rFonts w:ascii="微软雅黑" w:hAnsi="微软雅黑" w:eastAsia="微软雅黑"/>
          <w:color w:val="1A1A1A"/>
          <w:sz w:val="22"/>
        </w:rPr>
        <w:t>：高争民爆、C天博、深水海纳等高位股大幅回撤，题材退潮风险正在释放。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📌</w:t>
      </w: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