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2026-09-09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3953.81</w:t>
            </w:r>
          </w:p>
        </w:tc>
        <w:tc>
          <w:tcPr>
            <w:tcW w:type="dxa" w:w="2160"/>
          </w:tcPr>
          <w:p>
            <w:r>
              <w:t>+0.34%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13727.84</w:t>
            </w:r>
          </w:p>
        </w:tc>
        <w:tc>
          <w:tcPr>
            <w:tcW w:type="dxa" w:w="2160"/>
          </w:tcPr>
          <w:p>
            <w:r>
              <w:t>+0.18%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3355.59</w:t>
            </w:r>
          </w:p>
        </w:tc>
        <w:tc>
          <w:tcPr>
            <w:tcW w:type="dxa" w:w="2160"/>
          </w:tcPr>
          <w:p>
            <w:r>
              <w:t>-0.12%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1581.17</w:t>
            </w:r>
          </w:p>
        </w:tc>
        <w:tc>
          <w:tcPr>
            <w:tcW w:type="dxa" w:w="2160"/>
          </w:tcPr>
          <w:p>
            <w:r>
              <w:t>-0.62%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4574.88</w:t>
            </w:r>
          </w:p>
        </w:tc>
        <w:tc>
          <w:tcPr>
            <w:tcW w:type="dxa" w:w="2160"/>
          </w:tcPr>
          <w:p>
            <w:r>
              <w:t>+0.35%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7772.43</w:t>
            </w:r>
          </w:p>
        </w:tc>
        <w:tc>
          <w:tcPr>
            <w:tcW w:type="dxa" w:w="2160"/>
          </w:tcPr>
          <w:p>
            <w:r>
              <w:t>+0.02%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39.6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-18.23 亿  |  大单净 -19.42 亿  |  涨家 15 / 跌家 15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指数微幅收涨但市场宽度急剧恶化，放量普跌、二八分化极致演绎。上证指数收于3953.81点，较上一时段仅+0.02pp，横盘延续；但全样本涨跌比骤降至271:719（上涨比例27.1%），与指数红盘形成鲜明背离。成交额18358亿，较上一时段放大21.2%，放量之下资金并未推动普涨，而是向少数权重与题材集中，显示市场内部结构脆弱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：+0.34%（较上一时段+0.02pp，横盘延续；较昨日同期+0.09pp）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深证成指</w:t>
      </w:r>
      <w:r>
        <w:rPr>
          <w:rFonts w:ascii="微软雅黑" w:hAnsi="微软雅黑" w:eastAsia="微软雅黑"/>
          <w:color w:val="1A1A1A"/>
          <w:sz w:val="22"/>
        </w:rPr>
        <w:t>：+0.18%（较上一时段-0.01pp；较昨日同期+0.67pp，加速上涨后趋缓）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：-0.12%（较上一时段-0.15pp；较昨日同期+1.01pp，跌势减弱）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：-0.62%（较上一时段-0.29pp；较昨日同期+0.87pp，反弹后再度走弱）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：上涨271家/下跌719家/涨停6家/跌停0家，上涨比例27.1%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：18358亿，较上一时段+21.2%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：净买入39.63亿，其中沪市24.55亿、深市15.08亿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解读：指数表面平静，但涨跌比已进入极值区。上证与沪深300靠权重硬撑，中证500仅+0.02%、创业板与科创50收跌，中小成长股实际承压。成交额放大21.2%而普跌，说明放量来自抛压与调仓，非增量资金全面入场。南向全日净买入39.6亿，属“大幅净流入”，内资持续南下，A股情绪偏弱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领涨板块完全替换（较上一时段及昨日同期均呈快速轮动）：开发区（+0.335%）、陶瓷行业（+1.138%）、船舶制造（+0.34%）接替上阶段的橡胶助剂、航海装备Ⅲ、通信线缆。领涨板块涨幅均不足1.2%，缺乏明确主线，更像游资快速试探。船舶制造叠加亚星锚链（+10.044%）、招商轮船（+10.01%）涨停，是今日少有的题材亮点，属海洋经济/军工船舶方向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杀跌板块以次新股（-2.64%）、酿酒行业（-0.79%）为代表。次新股N洛轴虽涨101%，但次新指数整体大跌，说明打新情绪退潮、跟风资金快速兑现。酿酒行业大跌反映前期消费抱团继续松动，资金腾挪迹象明显。领跌板块中传媒娱乐（-0.17%）、生物制药（-0.17%）、医疗器械（-0.15%）均现资金流出，防御性板块并未获资金避险，反而小盘成长股被批量出清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：收于3953.81，日内开3943.92，高点未突破信号明显（high=0表示收盘价附近未站上日内高点），指数横盘但重心不稳。需警惕5日线附近的反复争夺。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深证成指</w:t>
      </w:r>
      <w:r>
        <w:rPr>
          <w:rFonts w:ascii="微软雅黑" w:hAnsi="微软雅黑" w:eastAsia="微软雅黑"/>
          <w:color w:val="1A1A1A"/>
          <w:sz w:val="22"/>
        </w:rPr>
        <w:t>：较昨日同期+0.67pp但较上一时段-0.01pp，动能明显衰竭。若MA5拐头向下，短期将回补缺口。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：连续两日偏弱，较昨日同期+1.01pp显示跌势减弱，但-0.12%仍收于日内低位，RSI大概率低于50，未确认企稳。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：-0.62%，较上一时段-0.29pp加速走弱，较昨日同期+0.87pp说明昨日的反弹已被完全侵蚀，MACD绿柱或再度放大。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综合判断：指数层面的“横盘”是权重与题材分化的结果。创业板、科创50反弹动能衰竭后回归弱势，上证独木难支。KDJ在中低位徘徊，市场缺乏趋势性做多动能。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量化视角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资金流向：新浪资金流样本30只股票总净额-18.23亿，大单净流出-19.42亿，流入流出家数均为15家。大单净流出显著，说明机构大资金在高位减仓而非吸筹。量价关系上，全市场成交额放量21.2%，但上涨比例仅27.1%，放量普跌，属典型的量价背离，技术含义偏空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市场宽度：1000只样本中719只下跌，中证500仅+0.02%，全市场平均换手3.74%，中位数成交9001万。宽度收缩与指数红盘并存，赚钱效应极差，容易引发次日抛压集中释放。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7月宏观数据已显疲态：CPI同比0.5%回落（前值1.0%），核心CPI仅0.9%，反映内需疲弱；PPI同比3.5%回落（前值4.1%），输入性压力减轻但企业盈利预期受压。7月制造业PMI 49.2跌破荣枯线，服务业PMI 49.3同步回落，经济扩张动能减弱。M2同比8.0%、M1同比4.0%，货币活化度一般。LPR连续14个月不变，1年期3.0%、5年期3.5%，商业银行净息差1.4%处于历史低位，进一步宽松空间受制约。整体流动性中性偏宽松，但经济基本面缺乏向上弹性，政策端未见突发刺激信号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内资南下加速</w:t>
      </w:r>
      <w:r>
        <w:rPr>
          <w:rFonts w:ascii="微软雅黑" w:hAnsi="微软雅黑" w:eastAsia="微软雅黑"/>
          <w:color w:val="1A1A1A"/>
          <w:sz w:val="22"/>
        </w:rPr>
        <w:t>：南向净买入39.6亿，较昨日同期-19.3亿大幅回升，内资避险情绪升温，A股存量博弈格局强化。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外部背离警示</w:t>
      </w:r>
      <w:r>
        <w:rPr>
          <w:rFonts w:ascii="微软雅黑" w:hAnsi="微软雅黑" w:eastAsia="微软雅黑"/>
          <w:color w:val="1A1A1A"/>
          <w:sz w:val="22"/>
        </w:rPr>
        <w:t>：外部共识看空（恒生科技-0.95%、恒生指数-0.30%，共识score=-3.6），上证却逆势+0.34%。内盘逆外盘走强属短期博弈型反弹，需警惕外力扰动下的补跌风险。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量价背离风险</w:t>
      </w:r>
      <w:r>
        <w:rPr>
          <w:rFonts w:ascii="微软雅黑" w:hAnsi="微软雅黑" w:eastAsia="微软雅黑"/>
          <w:color w:val="1A1A1A"/>
          <w:sz w:val="22"/>
        </w:rPr>
        <w:t>：放量普跌是当前最大技术隐患。若明日成交额萎缩且涨跌比继续恶化，指数将面临权重补跌压力。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板块快速轮动</w:t>
      </w:r>
      <w:r>
        <w:rPr>
          <w:rFonts w:ascii="微软雅黑" w:hAnsi="微软雅黑" w:eastAsia="微软雅黑"/>
          <w:color w:val="1A1A1A"/>
          <w:sz w:val="22"/>
        </w:rPr>
        <w:t>：日内领涨板块完全替换，无明显主线，追高风险亦大。游资在船舶、有色等方向做短线接力，但持续性存疑。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明日关注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板块方向</w:t>
      </w:r>
      <w:r>
        <w:rPr>
          <w:rFonts w:ascii="微软雅黑" w:hAnsi="微软雅黑" w:eastAsia="微软雅黑"/>
          <w:color w:val="1A1A1A"/>
          <w:sz w:val="22"/>
        </w:rPr>
        <w:t>：船舶/海洋工程（亚星锚链、招商轮船等涨停后的持续性）、煤炭（云煤能源、郑州煤电涨停）与有色（湖南黄金）的顺周期信号。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个股信号</w:t>
      </w:r>
      <w:r>
        <w:rPr>
          <w:rFonts w:ascii="微软雅黑" w:hAnsi="微软雅黑" w:eastAsia="微软雅黑"/>
          <w:color w:val="1A1A1A"/>
          <w:sz w:val="22"/>
        </w:rPr>
        <w:t>：中石科技（-15.46%，龙虎榜）大跌是否引发科技高位股补跌；我爱我家（龙虎榜涨幅偏离值达7%+换手20%）的筹码松动风险。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技术位</w:t>
      </w:r>
      <w:r>
        <w:rPr>
          <w:rFonts w:ascii="微软雅黑" w:hAnsi="微软雅黑" w:eastAsia="微软雅黑"/>
          <w:color w:val="1A1A1A"/>
          <w:sz w:val="22"/>
        </w:rPr>
        <w:t>：上证指数3940点附近支撑，若放量跌破则考验3900整数关口；科创50若继续下行至1550区域，成长风格收缩将加速。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资金面</w:t>
      </w:r>
      <w:r>
        <w:rPr>
          <w:rFonts w:ascii="微软雅黑" w:hAnsi="微软雅黑" w:eastAsia="微软雅黑"/>
          <w:color w:val="1A1A1A"/>
          <w:sz w:val="22"/>
        </w:rPr>
        <w:t>：关注南向资金是否连续净买入超30亿，若持续则进一步确认内资离场。LPR并未调整，关注本周是否有央行逆回购放量等流动性对冲操作。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