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2026-09-09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3953.12</w:t>
            </w:r>
          </w:p>
        </w:tc>
        <w:tc>
          <w:tcPr>
            <w:tcW w:type="dxa" w:w="2160"/>
          </w:tcPr>
          <w:p>
            <w:r>
              <w:t>+0.32%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13729.00</w:t>
            </w:r>
          </w:p>
        </w:tc>
        <w:tc>
          <w:tcPr>
            <w:tcW w:type="dxa" w:w="2160"/>
          </w:tcPr>
          <w:p>
            <w:r>
              <w:t>+0.19%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3360.86</w:t>
            </w:r>
          </w:p>
        </w:tc>
        <w:tc>
          <w:tcPr>
            <w:tcW w:type="dxa" w:w="2160"/>
          </w:tcPr>
          <w:p>
            <w:r>
              <w:t>+0.03%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1585.68</w:t>
            </w:r>
          </w:p>
        </w:tc>
        <w:tc>
          <w:tcPr>
            <w:tcW w:type="dxa" w:w="2160"/>
          </w:tcPr>
          <w:p>
            <w:r>
              <w:t>-0.33%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4575.55</w:t>
            </w:r>
          </w:p>
        </w:tc>
        <w:tc>
          <w:tcPr>
            <w:tcW w:type="dxa" w:w="2160"/>
          </w:tcPr>
          <w:p>
            <w:r>
              <w:t>+0.37%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7777.10</w:t>
            </w:r>
          </w:p>
        </w:tc>
        <w:tc>
          <w:tcPr>
            <w:tcW w:type="dxa" w:w="2160"/>
          </w:tcPr>
          <w:p>
            <w:r>
              <w:t>+0.08%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36.7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-18.23 亿  |  大单净 -19.42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本时段核心变化是：指数温和上涨与个股大面积下跌形成极端背离——上证+0.32%但全市场上涨比率仅26.6%，放量25.3%的背后是资金在权重与资源品中的集中防御，而非普涨进攻。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+0.32%较上一时段+0.08pp，深证成指+0.19%较上一时段+0.25pp，均属横盘延续；创业板指+0.03%虽然较上一时段显示+0.37pp的“加速”，但绝对涨幅几乎归零，属于动能衰竭型假加速。科创50转跌-0.33%，较上一时段跌0.28pp，是唯一翻绿的核心宽基。深证成指较昨日同期+0.46pp、沪深300较昨日同期+0.53pp均有明显提速，但与今日14:00横盘数据不一致，说明上午冲高后午后已在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</w:t>
      </w:r>
      <w:r>
        <w:rPr>
          <w:rFonts w:ascii="微软雅黑" w:hAnsi="微软雅黑" w:eastAsia="微软雅黑"/>
          <w:color w:val="1A1A1A"/>
          <w:sz w:val="22"/>
        </w:rPr>
        <w:t>：上证、深成指、沪深300较上一时段均为横盘延续，创业板假加速，科创50翻绿——大类指数动能衰竭</w:t>
      </w:r>
    </w:p>
    <w:p>
      <w:pPr>
        <w:pStyle w:val="ListBullet"/>
        <w:spacing w:after="40"/>
      </w:pP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