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3920.77</w:t>
            </w:r>
          </w:p>
        </w:tc>
        <w:tc>
          <w:tcPr>
            <w:tcW w:type="dxa" w:w="2160"/>
          </w:tcPr>
          <w:p>
            <w:r>
              <w:t>-0.24%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13702.12</w:t>
            </w:r>
          </w:p>
        </w:tc>
        <w:tc>
          <w:tcPr>
            <w:tcW w:type="dxa" w:w="2160"/>
          </w:tcPr>
          <w:p>
            <w:r>
              <w:t>+1.37%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3372.70</w:t>
            </w:r>
          </w:p>
        </w:tc>
        <w:tc>
          <w:tcPr>
            <w:tcW w:type="dxa" w:w="2160"/>
          </w:tcPr>
          <w:p>
            <w:r>
              <w:t>+2.62%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1602.11</w:t>
            </w:r>
          </w:p>
        </w:tc>
        <w:tc>
          <w:tcPr>
            <w:tcW w:type="dxa" w:w="2160"/>
          </w:tcPr>
          <w:p>
            <w:r>
              <w:t>+1.57%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4556.79</w:t>
            </w:r>
          </w:p>
        </w:tc>
        <w:tc>
          <w:tcPr>
            <w:tcW w:type="dxa" w:w="2160"/>
          </w:tcPr>
          <w:p>
            <w:r>
              <w:t>+0.19%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7726.31</w:t>
            </w:r>
          </w:p>
        </w:tc>
        <w:tc>
          <w:tcPr>
            <w:tcW w:type="dxa" w:w="2160"/>
          </w:tcPr>
          <w:p>
            <w:r>
              <w:t>+0.96%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12.9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44.14 亿  |  大单净 44.98 亿  |  涨家 24 / 跌家 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一句话点睛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本时段核心变化是成交额异常放量 +31.9%，但上证指数仍收绿，量能集中涌入深市/创业板，属于典型的结构性放量，而非全面普涨。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上证指数午盘收于 3920.77（-0.24%），较上一时段进一步走弱（-0.15pp），继续围绕开盘价下方横盘；深证成指 +1.37%、创业板指 +2.62%（较上一时段 +0.46pp，加速上涨），科创50 +1.57%。全市场成交额 12426 亿，较上一时段暴增 31.9%，属于异常放量。指数分化显著，资金集中在成长科技方向。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：362 上涨 / 130 下跌 / 8 平，上涨家数占比 72.4%。从样本覆盖看，市场宽度仍偏正面，但权重股走弱（上证、沪深300仅微涨或收跌）说明赚钱效应集中于中小盘成长。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：12426 亿，较上一时段 +31.9%。成交放量但上证收绿，说明增量资金并未流入权重蓝筹，而是集中攻击科技成长方向。需要注意：这是一小时的边际放大，而非全天的同比变化，存在局部冲量嫌疑。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</w:t>
      </w:r>
      <w:r>
        <w:rPr>
          <w:rFonts w:ascii="微软雅黑" w:hAnsi="微软雅黑" w:eastAsia="微软雅黑"/>
          <w:color w:val="1A1A1A"/>
          <w:sz w:val="22"/>
        </w:rPr>
        <w:t>：涨停 13 家（剔除新股后），跌停 0 家，情绪面健康但局部涨停家数较少，说明市场没有出现全面性疯涨，仍是结构性行情。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 +12.9 亿，较上一时段仅小幅回落（-0.3 亿）。属温和净买入，不是极端净卖出或大幅净流入，A股情绪面保持中性偏多。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：次新股 +1.80%（新股上市集中推升）、电子器件 +0.71%、机械行业 +0.47%、玻璃行业 +0.33%、仪器仪表 +0.31%。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：酿酒行业 -0.47%、飞机制造 -0.32%、金融行业 -0.25%、煤炭行业 -0.24%、开发区 -0.12%。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驱动因素与持续性</w:t>
      </w:r>
      <w:r>
        <w:rPr>
          <w:rFonts w:ascii="微软雅黑" w:hAnsi="微软雅黑" w:eastAsia="微软雅黑"/>
          <w:color w:val="1A1A1A"/>
          <w:sz w:val="22"/>
        </w:rPr>
        <w:t>：电子器件、机械、仪器仪表等高端制造方向领涨，与创业板/科创50的强势共振；酿酒、金融、煤炭等权重防御类走弱，说明资金从防御切向进攻，但持续性仍待确认——若大盘成交额无法维持在万亿以上，且权重继续拖累指数，板块快速轮动可能导致冲高回落。次新股涨幅居前主要是新股上市效应，参考意义有限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：开于 3942.51 后震荡走低至 3920.77 附近，较上一时段重心继续下移，短期均线（MA）可能已拐头向下，MACD 动能不足。指数日内跌破开盘价，显示上方 3940 一线存在抛压。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：+1.37%，强势拉升，涨跌结构向上，动能较温。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：+2.62%，较上一时段加速上涨（+0.46pp），明显突破日内均线压制，量价齐升，是当前最强的动能指数。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：+1.57%，同步放量，但较创业板稍弱，属于跟随科技成长风格。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动能判断</w:t>
      </w:r>
      <w:r>
        <w:rPr>
          <w:rFonts w:ascii="微软雅黑" w:hAnsi="微软雅黑" w:eastAsia="微软雅黑"/>
          <w:color w:val="1A1A1A"/>
          <w:sz w:val="22"/>
        </w:rPr>
        <w:t>：创业板属于动能加速（价格加速+成交放量），上证指数属于动能衰减（成交放量但价格走低），整体属于结构性动能转移，而非指数级趋势反转。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：全市场大单净流入 44.14 亿（样本 30 只），大单净额 44.98 亿，流入家数 24 家，流出 6 家。资金方向与指数结构一致——资金明显流入创业板/科创板权重，而传统权重股被抛售。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：上证指数成交额 5783 亿，价格下跌，属于放量滞涨（量增价跌）；深市成交额 6644 亿，价格上涨，属于量价齐升。两市合计放量，但量能结构分化，存在资金重新分配特征。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：指数分化显著，上涨家数占比 72.4%，但上证指数收绿，意味着权重股跌幅较深，中小盘普涨。这是典型的"权重压盘、题材活跃"格局。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风格切换信号</w:t>
      </w:r>
      <w:r>
        <w:rPr>
          <w:rFonts w:ascii="微软雅黑" w:hAnsi="微软雅黑" w:eastAsia="微软雅黑"/>
          <w:color w:val="1A1A1A"/>
          <w:sz w:val="22"/>
        </w:rPr>
        <w:t>：酿酒、金融、煤炭等防御/红利资产走弱，电子器件、机械、仪器仪表等成长制造走强，显示资金从低估值防御转入成长进攻。但要注意：若下午成交额回落，这种风格切换可能只是盘中脉冲，而非趋势性切换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通胀端</w:t>
      </w:r>
      <w:r>
        <w:rPr>
          <w:rFonts w:ascii="微软雅黑" w:hAnsi="微软雅黑" w:eastAsia="微软雅黑"/>
          <w:color w:val="1A1A1A"/>
          <w:sz w:val="22"/>
        </w:rPr>
        <w:t>：CPI 同比 +0.5%（前值 1.0%），PPI 同比 +3.5%（前值 4.1%），两者都在回落。PPI 仍处正值但增速放缓，上游工业企业盈利压力减轻，利好中下游制造业。这也解释了今天机械、电子等中游制造业走强。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景气度</w:t>
      </w:r>
      <w:r>
        <w:rPr>
          <w:rFonts w:ascii="微软雅黑" w:hAnsi="微软雅黑" w:eastAsia="微软雅黑"/>
          <w:color w:val="1A1A1A"/>
          <w:sz w:val="22"/>
        </w:rPr>
        <w:t>：制造业 PMI 49.2，跌破荣枯线，5 个月最低；服务业 PMI 49.3，同步回落。经济景气收缩背景下，市场更倾向于结构性机会而非全面牛市，资金更偏好政策支持的高端制造和科技成长方向。高技术制造业 PMI 53.3% 逆势扩张，与今天创业板、科创50走强形成印证。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 同比 +8.0%，M1 同比 +4.0%，M2-M1 剪刀差仍高，社融 6 月同比少增 8606 亿，金融数据偏弱。但 LPR 连续 14 个月不变（1年期 3.0%、5年期 3.5%），政策利率仍处于低位。流动性弱但利率低，市场资金在不同板块间腾挪，推动科技成长估值抬升。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：外盘美股三大指数全线下跌（道指 -0.51%、标普 -0.38%、纳指 -0.29%），港股恒生指数 -1.02%、恒生科技 -1.09%，离岸人民币 6.7107（贬值 +0.04%）。外部整体偏空，A 股却出现创业板放量上涨，说明内盘资金独立于外部，但外部偏空会限制整体风险偏好持续走强。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：上证指数放量下跌，权重股持续走弱，若下午无法站稳 3920 一线，可能形成日内趋势破位，拖累中小盘情绪。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风格切换持续性存疑</w:t>
      </w:r>
      <w:r>
        <w:rPr>
          <w:rFonts w:ascii="微软雅黑" w:hAnsi="微软雅黑" w:eastAsia="微软雅黑"/>
          <w:color w:val="1A1A1A"/>
          <w:sz w:val="22"/>
        </w:rPr>
        <w:t>：成长板块边际放量明显，但涨停家数不多，且部分个股 PE 异常高（数百倍甚至千倍），需防冲高回落。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外部联动偏空</w:t>
      </w:r>
      <w:r>
        <w:rPr>
          <w:rFonts w:ascii="微软雅黑" w:hAnsi="微软雅黑" w:eastAsia="微软雅黑"/>
          <w:color w:val="1A1A1A"/>
          <w:sz w:val="22"/>
        </w:rPr>
        <w:t>：恒生指数与恒生科技均跌逾 1%，离岸人民币走贬，外资风险偏好偏弱。内资独立拉升成长板块存在分歧，一旦外部风险发酵，A股可能承压。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成交额异常放量</w:t>
      </w:r>
      <w:r>
        <w:rPr>
          <w:rFonts w:ascii="微软雅黑" w:hAnsi="微软雅黑" w:eastAsia="微软雅黑"/>
          <w:color w:val="1A1A1A"/>
          <w:sz w:val="22"/>
        </w:rPr>
        <w:t>：31.9% 的边际放大可能包含主力资金集中调仓或避险性成交，不能简单视为增量资金入场。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关注午后北上资金无法监测</w:t>
      </w:r>
      <w:r>
        <w:rPr>
          <w:rFonts w:ascii="微软雅黑" w:hAnsi="微软雅黑" w:eastAsia="微软雅黑"/>
          <w:color w:val="1A1A1A"/>
          <w:sz w:val="22"/>
        </w:rPr>
        <w:t>：北向资金净买入方向已停止发布，无法确认外资是否参与今日成长板块拉升，需以市场实际量价和南向资金为参考。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免责声明</w:t>
      </w:r>
      <w:r>
        <w:rPr>
          <w:rFonts w:ascii="微软雅黑" w:hAnsi="微软雅黑" w:eastAsia="微软雅黑"/>
          <w:color w:val="1A1A1A"/>
          <w:sz w:val="22"/>
        </w:rPr>
        <w:t>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