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 股量化报告 — 早盘分析</w:t>
      </w:r>
    </w:p>
    <w:p>
      <w:pPr>
        <w:jc w:val="center"/>
      </w:pPr>
      <w:r>
        <w:rPr>
          <w:color w:val="8B949E"/>
          <w:sz w:val="20"/>
        </w:rPr>
        <w:t>2026-09-11  |  模型: DeepSeek  |  量化交易视角</w:t>
      </w:r>
    </w:p>
    <w:p>
      <w:pPr>
        <w:pStyle w:val="Heading2"/>
      </w:pPr>
      <w:r>
        <w:t>核心指标速览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指数</w:t>
            </w:r>
          </w:p>
        </w:tc>
        <w:tc>
          <w:tcPr>
            <w:tcW w:type="dxa" w:w="2160"/>
          </w:tcPr>
          <w:p>
            <w:r>
              <w:t>点位</w:t>
            </w:r>
          </w:p>
        </w:tc>
        <w:tc>
          <w:tcPr>
            <w:tcW w:type="dxa" w:w="2160"/>
          </w:tcPr>
          <w:p>
            <w:r>
              <w:t>涨跌幅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上证指数</w:t>
            </w:r>
          </w:p>
        </w:tc>
        <w:tc>
          <w:tcPr>
            <w:tcW w:type="dxa" w:w="2160"/>
          </w:tcPr>
          <w:p>
            <w:r>
              <w:t>3859.40</w:t>
            </w:r>
          </w:p>
        </w:tc>
        <w:tc>
          <w:tcPr>
            <w:tcW w:type="dxa" w:w="2160"/>
          </w:tcPr>
          <w:p>
            <w:r>
              <w:t>-1.91%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深证成指</w:t>
            </w:r>
          </w:p>
        </w:tc>
        <w:tc>
          <w:tcPr>
            <w:tcW w:type="dxa" w:w="2160"/>
          </w:tcPr>
          <w:p>
            <w:r>
              <w:t>13326.67</w:t>
            </w:r>
          </w:p>
        </w:tc>
        <w:tc>
          <w:tcPr>
            <w:tcW w:type="dxa" w:w="2160"/>
          </w:tcPr>
          <w:p>
            <w:r>
              <w:t>-2.14%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创业板指</w:t>
            </w:r>
          </w:p>
        </w:tc>
        <w:tc>
          <w:tcPr>
            <w:tcW w:type="dxa" w:w="2160"/>
          </w:tcPr>
          <w:p>
            <w:r>
              <w:t>3286.99</w:t>
            </w:r>
          </w:p>
        </w:tc>
        <w:tc>
          <w:tcPr>
            <w:tcW w:type="dxa" w:w="2160"/>
          </w:tcPr>
          <w:p>
            <w:r>
              <w:t>-1.54%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科创50</w:t>
            </w:r>
          </w:p>
        </w:tc>
        <w:tc>
          <w:tcPr>
            <w:tcW w:type="dxa" w:w="2160"/>
          </w:tcPr>
          <w:p>
            <w:r>
              <w:t>1530.01</w:t>
            </w:r>
          </w:p>
        </w:tc>
        <w:tc>
          <w:tcPr>
            <w:tcW w:type="dxa" w:w="2160"/>
          </w:tcPr>
          <w:p>
            <w:r>
              <w:t>-2.50%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沪深300</w:t>
            </w:r>
          </w:p>
        </w:tc>
        <w:tc>
          <w:tcPr>
            <w:tcW w:type="dxa" w:w="2160"/>
          </w:tcPr>
          <w:p>
            <w:r>
              <w:t>4475.60</w:t>
            </w:r>
          </w:p>
        </w:tc>
        <w:tc>
          <w:tcPr>
            <w:tcW w:type="dxa" w:w="2160"/>
          </w:tcPr>
          <w:p>
            <w:r>
              <w:t>-1.60%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中证500</w:t>
            </w:r>
          </w:p>
        </w:tc>
        <w:tc>
          <w:tcPr>
            <w:tcW w:type="dxa" w:w="2160"/>
          </w:tcPr>
          <w:p>
            <w:r>
              <w:t>7478.53</w:t>
            </w:r>
          </w:p>
        </w:tc>
        <w:tc>
          <w:tcPr>
            <w:tcW w:type="dxa" w:w="2160"/>
          </w:tcPr>
          <w:p>
            <w:r>
              <w:t>-3.10%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b/>
        </w:rPr>
        <w:t>外资监测</w:t>
      </w:r>
    </w:p>
    <w:p>
      <w:r>
        <w:t xml:space="preserve">  南向资金：净买入 23.5 亿（港股通，A股情绪反向指标）</w:t>
      </w:r>
      <w:r>
        <w:rPr>
          <w:color w:val="8B949E"/>
          <w:sz w:val="18"/>
        </w:rPr>
        <w:br/>
        <w:t xml:space="preserve">  注：北向净买入自2024年证监会新规后不再公开发布，外资监测由南向资金+外部联动构成</w:t>
      </w:r>
    </w:p>
    <w:p>
      <w:r>
        <w:rPr>
          <w:b/>
        </w:rPr>
        <w:t>大资金方向（替代两融）：</w:t>
      </w:r>
      <w:r>
        <w:t>30 股聚合净流入 -10.9 亿  |  大单净 -12.49 亿  |  涨家 15 / 跌家 15</w:t>
      </w:r>
      <w:r>
        <w:rPr>
          <w:color w:val="8B949E"/>
          <w:sz w:val="18"/>
        </w:rPr>
        <w:br/>
        <w:t>注：数据来自新浪资金流（大单/特大单估算），非融资融券官方数据，仅供参考大资金方向</w:t>
      </w:r>
    </w:p>
    <w:p>
      <w:r>
        <w:rPr>
          <w:b/>
        </w:rPr>
        <w:t>宏观数据：</w:t>
      </w:r>
      <w:r>
        <w:t>CPI 0.5%  |  PPI 3.5%  |  PMI 49.2  |  M2 8.0%  |  LPR 1Y 3.0%</w:t>
      </w:r>
    </w:p>
    <w:p/>
    <w:p>
      <w:pPr>
        <w:pStyle w:val="Heading2"/>
      </w:pPr>
      <w:r>
        <w:t>量化分析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本时段核心变化是：放量加速下跌，中证500领跌且市场宽度骤降至4.2%，资金分歧加大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市场概览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早盘开盘后1小时，A股主要指数低开低走、加速下探，呈现系统性抛压。上证指数跌1.91%，深证成指跌2.14%，中证500重挫3.10%，创业板指相对抗跌但仍跌1.54%。市场上涨家数仅42家，占比4.2%，跌停家数5家超过涨停2家，恐慌情绪占据主导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核心指标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指数表现</w:t>
      </w:r>
      <w:r>
        <w:rPr>
          <w:rFonts w:ascii="微软雅黑" w:hAnsi="微软雅黑" w:eastAsia="微软雅黑"/>
          <w:color w:val="1A1A1A"/>
          <w:sz w:val="22"/>
        </w:rPr>
        <w:t>：上证指数 -1.91%（较上一时段 -1.90pp，较昨日同期 -1.60pp）；深证成指 -2.14%（较上一时段 -2.14pp，较昨日同期 -1.75pp）；创业板指 -1.54%（较上一时段 -1.54pp，较昨日同期 -1.55pp）；科创50 -2.50%（较上一时段 -2.50pp，较昨日同期 -2.43pp）；沪深300 -1.60%（较上一时段 -1.59pp，较昨日同期 -1.29pp）；中证500 -3.10%（较上一时段 -3.10pp，较昨日同期 -2.71pp）。</w:t>
      </w:r>
      <w:r>
        <w:rPr>
          <w:rFonts w:ascii="微软雅黑" w:hAnsi="微软雅黑" w:eastAsia="微软雅黑"/>
          <w:b/>
          <w:color w:val="D29922"/>
          <w:sz w:val="22"/>
        </w:rPr>
        <w:t>所有指数均较上一时段和昨日同期加速下跌，属动能加速阶段。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成交额</w:t>
      </w:r>
      <w:r>
        <w:rPr>
          <w:rFonts w:ascii="微软雅黑" w:hAnsi="微软雅黑" w:eastAsia="微软雅黑"/>
          <w:color w:val="1A1A1A"/>
          <w:sz w:val="22"/>
        </w:rPr>
        <w:t>：9437亿元，较昨日同期放量14.7%。放量下跌说明抛压真实，非缩量阴跌。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涨跌分布</w:t>
      </w:r>
      <w:r>
        <w:rPr>
          <w:rFonts w:ascii="微软雅黑" w:hAnsi="微软雅黑" w:eastAsia="微软雅黑"/>
          <w:color w:val="1A1A1A"/>
          <w:sz w:val="22"/>
        </w:rPr>
        <w:t>：上涨42家，下跌955家，平盘3家；上涨比率4.2%，极端弱势。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南向资金</w:t>
      </w:r>
      <w:r>
        <w:rPr>
          <w:rFonts w:ascii="微软雅黑" w:hAnsi="微软雅黑" w:eastAsia="微软雅黑"/>
          <w:color w:val="1A1A1A"/>
          <w:sz w:val="22"/>
        </w:rPr>
        <w:t>：港股通净买入23.53亿元，较昨日同期净卖出2.0亿元转为净买入，边际变化明显，显示内资南下意愿增强，对A股情绪形成反向压力。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外部联动</w:t>
      </w:r>
      <w:r>
        <w:rPr>
          <w:rFonts w:ascii="微软雅黑" w:hAnsi="微软雅黑" w:eastAsia="微软雅黑"/>
          <w:color w:val="1A1A1A"/>
          <w:sz w:val="22"/>
        </w:rPr>
        <w:t>：恒生指数 -1.17%，恒生科技 -1.42%，离岸人民币小幅升值0.04%（中性），外部共识偏空，与南向资金方向共振，内外资均偏谨慎。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板块热点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领涨板块完全替换，昨日领涨的船舶制造、传媒娱乐、玻璃行业今日退出榜单，被通信线缆及配套、其他数字媒体、文字媒体接替，板块持续性极差，属于典型的快速轮动。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领涨</w:t>
      </w:r>
      <w:r>
        <w:rPr>
          <w:rFonts w:ascii="微软雅黑" w:hAnsi="微软雅黑" w:eastAsia="微软雅黑"/>
          <w:color w:val="1A1A1A"/>
          <w:sz w:val="22"/>
        </w:rPr>
        <w:t>：通信线缆及配套 +4.34%（神宇股份涨停），其他数字媒体 +2.93%（风语筑涨停），文字媒体 +2.58%（掌阅科技），彩电、地面兵装、水力发电、种子、国有大型银行等小幅上涨。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领跌</w:t>
      </w:r>
      <w:r>
        <w:rPr>
          <w:rFonts w:ascii="微软雅黑" w:hAnsi="微软雅黑" w:eastAsia="微软雅黑"/>
          <w:color w:val="1A1A1A"/>
          <w:sz w:val="22"/>
        </w:rPr>
        <w:t>：银行整体下跌1.01%（但国有大行上涨0.73%，股份制银行下跌0.6%，分化明显），通信设备、电力、油气开采、印制电路板等板块下跌。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驱动因素</w:t>
      </w:r>
      <w:r>
        <w:rPr>
          <w:rFonts w:ascii="微软雅黑" w:hAnsi="微软雅黑" w:eastAsia="微软雅黑"/>
          <w:color w:val="1A1A1A"/>
          <w:sz w:val="22"/>
        </w:rPr>
        <w:t>：通信线缆走强或与算力/数据中心布线需求预期有关，但板块容量有限，无法带动指数；国有大行上涨反映部分资金避险抱团高股息，但难抵全局抛压。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技术信号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各指数均低开低走，开盘价附近即为当日压力位，技术形态呈空头加速排列。中证500、科创50跌幅最大，中小盘指数跌破关键短期支撑的概率上升。虽然缺乏实时RSI/KDJ数据，但一小时跌幅达2.5%-3.1%，短线指标大概率已进入超卖区，存在技术性反抽的可能，但反抽力度取决于权重股能否企稳。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上证指数现价3859.4，已远离开盘价3910.92，若午后无法收复3880上方，则下方关注3800整数关口支撑；创业板指相对抗跌，但若市场继续下探，补跌风险加大。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量化视角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资金流向</w:t>
      </w:r>
      <w:r>
        <w:rPr>
          <w:rFonts w:ascii="微软雅黑" w:hAnsi="微软雅黑" w:eastAsia="微软雅黑"/>
          <w:color w:val="1A1A1A"/>
          <w:sz w:val="22"/>
        </w:rPr>
        <w:t>：昨日30只样本股主力资金净流出10.9亿元，大单净流出12.49亿元，显示大资金持续撤离。今日虽无实时资金流数据，但放量下跌与低开走弱的结构，可推断主力资金仍在净流出。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量价关系</w:t>
      </w:r>
      <w:r>
        <w:rPr>
          <w:rFonts w:ascii="微软雅黑" w:hAnsi="微软雅黑" w:eastAsia="微软雅黑"/>
          <w:color w:val="1A1A1A"/>
          <w:sz w:val="22"/>
        </w:rPr>
        <w:t>：成交额9437亿较昨日同期放量14.7%，但指数跌幅同步扩大，属于典型的放量下杀，空方力度强于多方承接。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市场宽度</w:t>
      </w:r>
      <w:r>
        <w:rPr>
          <w:rFonts w:ascii="微软雅黑" w:hAnsi="微软雅黑" w:eastAsia="微软雅黑"/>
          <w:color w:val="1A1A1A"/>
          <w:sz w:val="22"/>
        </w:rPr>
        <w:t>：上涨比率4.2%，接近历史极端低位。历史上类似宽度极端值后常出现短线超跌反弹，但在系统性风险释放阶段，宽度可能持续钝化，不宜过早抄底。</w:t>
      </w:r>
    </w:p>
    <w:p/>
    <w:p>
      <w:r>
        <w:rPr>
          <w:color w:val="8B949E"/>
          <w:sz w:val="16"/>
        </w:rPr>
        <w:t>⚠️ 免责声明：本报告由 AI 自动生成，仅供参考，不构成任何投资建议。投资有风险，入市需谨慎。报告中的数据来源于公开接口，不对其准确性做任何保证。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