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午后更新</w:t>
      </w:r>
    </w:p>
    <w:p>
      <w:pPr>
        <w:jc w:val="center"/>
      </w:pPr>
      <w:r>
        <w:rPr>
          <w:color w:val="8B949E"/>
          <w:sz w:val="20"/>
        </w:rPr>
        <w:t>2026-08-24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3858.57</w:t>
            </w:r>
          </w:p>
        </w:tc>
        <w:tc>
          <w:tcPr>
            <w:tcW w:type="dxa" w:w="2160"/>
          </w:tcPr>
          <w:p>
            <w:r>
              <w:t>-1.19%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13638.01</w:t>
            </w:r>
          </w:p>
        </w:tc>
        <w:tc>
          <w:tcPr>
            <w:tcW w:type="dxa" w:w="2160"/>
          </w:tcPr>
          <w:p>
            <w:r>
              <w:t>-3.24%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3383.17</w:t>
            </w:r>
          </w:p>
        </w:tc>
        <w:tc>
          <w:tcPr>
            <w:tcW w:type="dxa" w:w="2160"/>
          </w:tcPr>
          <w:p>
            <w:r>
              <w:t>-4.58%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1579.96</w:t>
            </w:r>
          </w:p>
        </w:tc>
        <w:tc>
          <w:tcPr>
            <w:tcW w:type="dxa" w:w="2160"/>
          </w:tcPr>
          <w:p>
            <w:r>
              <w:t>-4.45%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4531.46</w:t>
            </w:r>
          </w:p>
        </w:tc>
        <w:tc>
          <w:tcPr>
            <w:tcW w:type="dxa" w:w="2160"/>
          </w:tcPr>
          <w:p>
            <w:r>
              <w:t>-1.89%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7630.98</w:t>
            </w:r>
          </w:p>
        </w:tc>
        <w:tc>
          <w:tcPr>
            <w:tcW w:type="dxa" w:w="2160"/>
          </w:tcPr>
          <w:p>
            <w:r>
              <w:t>-2.84%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南向资金：净买入 52.8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-2.59 亿  |  大单净 -2.64 亿  |  涨家 10 / 跌家 20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模块一：边际速览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本时段核心变化是：指数加速放量下跌，市场宽度急剧收缩至10.6%，资金全面转向防御性权重。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指数方向：动能加速下跌。</w:t>
      </w:r>
      <w:r>
        <w:rPr>
          <w:rFonts w:ascii="微软雅黑" w:hAnsi="微软雅黑" w:eastAsia="微软雅黑"/>
          <w:color w:val="1A1A1A"/>
          <w:sz w:val="22"/>
        </w:rPr>
        <w:t>上证指数-1.19%（较上一时段-0.48pp），深证成指-3.24%（-0.80pp），创业板指-4.58%（-1.08pp），科创50-4.45%（-1.20pp），沪深300-1.89%（-0.64pp），中证500-2.84%（-0.78pp）。六大指数跌幅全面扩大，创业板、科创50领跌，成长股抛压最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量能：显著放量。</w:t>
      </w:r>
      <w:r>
        <w:rPr>
          <w:rFonts w:ascii="微软雅黑" w:hAnsi="微软雅黑" w:eastAsia="微软雅黑"/>
          <w:color w:val="1A1A1A"/>
          <w:sz w:val="22"/>
        </w:rPr>
        <w:t>两市成交额16571亿，较上一时段+20.9%。放量下跌意味着空方力量增强，市场恐慌情绪正在释放，参与度上升但以卖出为主导。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涨跌比：市场宽度极度收缩。</w:t>
      </w:r>
      <w:r>
        <w:rPr>
          <w:rFonts w:ascii="微软雅黑" w:hAnsi="微软雅黑" w:eastAsia="微软雅黑"/>
          <w:color w:val="1A1A1A"/>
          <w:sz w:val="22"/>
        </w:rPr>
        <w:t>全市场上涨106家，下跌890家，平4家，上涨占比仅10.6%，涨停仅5家，跌停14家。赚钱效应几乎消失，亏钱效应扩散，与上一时段相比进一步恶化。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模块二：量价结构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沪深300成交额约4894亿，占两市总成交额16571亿的29.5%，权重成交占比不高，并未形成绝对虹吸效应。但权重股表现相对抗跌：沪深300仅-1.89%，远强于创业板指-4.58%、科创50-4.45%，显示资金在权重核心资产中避险，而非全面撤退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板块涨幅榜中，银行（+1.22%）、保险（+1.67%）、煤炭（+2.23%）、贵金属（+2.31%）等防御性板块逆势上涨，同时其他养殖（+5.85%）、种子（+5.24%）、白银（+4.67%）等小市值题材也活跃，但板块快速轮动，领涨板块完全替换，说明资金缺乏持续主线，以短暂脉冲和避险为主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量价关系上，放量+加速下跌，属于典型的空头动能加速段。权重防御、题材杀跌的结构表明资金风险偏好急剧下降，短期不宜追涨任何题材，需等待情绪企稳。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模块四：内外联动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外部联动预判合理：恒生指数-2.05%、恒生科技-3.69%构成强空信号，离岸人民币+0.07%为微弱贬值（幅度</w:t>
      </w:r>
      <w:r>
        <w:rPr>
          <w:rFonts w:ascii="微软雅黑" w:hAnsi="微软雅黑" w:eastAsia="微软雅黑"/>
          <w:color w:val="1A1A1A"/>
          <w:sz w:val="22"/>
        </w:rPr>
        <w:t>&lt;</w:t>
      </w:r>
      <w:r>
        <w:rPr>
          <w:rFonts w:ascii="微软雅黑" w:hAnsi="微软雅黑" w:eastAsia="微软雅黑"/>
          <w:color w:val="1A1A1A"/>
          <w:sz w:val="22"/>
        </w:rPr>
        <w:t>0.3%可忽略）。港股科技股暴跌与A股创业板、科创50的大幅下挫形成共振，外资风险偏好明显收缩，外部一致看空（一致性分数-6.9，置信度强）。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南向资金净买入52.8亿（较上一时段减少7.1亿），仍处于大幅净流入区间。内资在A股大跌时逆势南下抄底港股，但港股同样下跌，南向资金被套的概率上升，同时A股短线资金分流加剧。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整体看，内外资金同步撤离A股：外资通过外部联动看空，内资通过南向南下分流，A股场内缺乏承接力量，偏空信号明确。离岸人民币几乎持平，汇率并非主因，核心矛盾在于风险资产抛售。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模块五：持续性评估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上涨占比10.6%已连续2小时处于40%以下的极端偏空区间，历史上类似冰点数据后往往伴随技术性反抽。但当前放量加速下跌，恐慌盘仍在释放，尚未出现缩量止跌或长下影线等企稳信号，冰点反弹可能延迟或力度有限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昨日数据暂缺，方向反转评估跳过；昨日涨停股列表暂缺，连板高度与晋级率无法判断，题材情绪持续性存疑。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板块快速轮动加剧，追涨策略在极端市场宽度下胜率极低，建议等待上涨家数回升至500家以上或涨停家数明显修复再考虑进攻。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模块六：红黄绿灯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🔴</w:t>
      </w:r>
      <w:r>
        <w:rPr>
          <w:rFonts w:ascii="微软雅黑" w:hAnsi="微软雅黑" w:eastAsia="微软雅黑"/>
          <w:b/>
          <w:color w:val="D29922"/>
          <w:sz w:val="22"/>
        </w:rPr>
        <w:t>红灯（危险信号）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南向大幅净买入53亿（内资加速南下）+ 上证-1.19%，内外资金同步撤离A股。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外部一致看空（score=-6.9，conf=强）+ 上证同步下跌，外盘+内盘共振偏空。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🟡</w:t>
      </w:r>
      <w:r>
        <w:rPr>
          <w:rFonts w:ascii="微软雅黑" w:hAnsi="微软雅黑" w:eastAsia="微软雅黑"/>
          <w:b/>
          <w:color w:val="D29922"/>
          <w:sz w:val="22"/>
        </w:rPr>
        <w:t>黄灯（观望信号）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南向净买入53亿（内资南下），A股短线资金被分流。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板块轮动加速，主线不清晰，追涨易被套。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涨跌比连续极端，尾盘反转概率上升，建议减仓观望。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🟢</w:t>
      </w:r>
      <w:r>
        <w:rPr>
          <w:rFonts w:ascii="微软雅黑" w:hAnsi="微软雅黑" w:eastAsia="微软雅黑"/>
          <w:b/>
          <w:color w:val="D29922"/>
          <w:sz w:val="22"/>
        </w:rPr>
        <w:t>绿灯</w:t>
      </w:r>
      <w:r>
        <w:rPr>
          <w:rFonts w:ascii="微软雅黑" w:hAnsi="微软雅黑" w:eastAsia="微软雅黑"/>
          <w:color w:val="1A1A1A"/>
          <w:sz w:val="22"/>
        </w:rPr>
        <w:t>：暂无触发。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