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2026-08-14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3926.65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14351.10</w:t>
            </w:r>
          </w:p>
        </w:tc>
        <w:tc>
          <w:tcPr>
            <w:tcW w:type="dxa" w:w="2160"/>
          </w:tcPr>
          <w:p>
            <w:r>
              <w:t>+0.43%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3624.59</w:t>
            </w:r>
          </w:p>
        </w:tc>
        <w:tc>
          <w:tcPr>
            <w:tcW w:type="dxa" w:w="2160"/>
          </w:tcPr>
          <w:p>
            <w:r>
              <w:t>+1.08%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1718.30</w:t>
            </w:r>
          </w:p>
        </w:tc>
        <w:tc>
          <w:tcPr>
            <w:tcW w:type="dxa" w:w="2160"/>
          </w:tcPr>
          <w:p>
            <w:r>
              <w:t>+0.03%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4667.46</w:t>
            </w:r>
          </w:p>
        </w:tc>
        <w:tc>
          <w:tcPr>
            <w:tcW w:type="dxa" w:w="2160"/>
          </w:tcPr>
          <w:p>
            <w:r>
              <w:t>+0.08%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7985.92</w:t>
            </w:r>
          </w:p>
        </w:tc>
        <w:tc>
          <w:tcPr>
            <w:tcW w:type="dxa" w:w="2160"/>
          </w:tcPr>
          <w:p>
            <w:r>
              <w:t>+0.22%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26830 亿（高活跃度）</w:t>
      </w:r>
    </w:p>
    <w:p>
      <w:r>
        <w:t xml:space="preserve">  外资占比：155.8%（北向成交 / 两市成交）</w:t>
      </w:r>
    </w:p>
    <w:p>
      <w:r>
        <w:t xml:space="preserve">  沪/深偏好：沪市 41%（偏成长进攻）</w:t>
      </w:r>
    </w:p>
    <w:p>
      <w:r>
        <w:t xml:space="preserve">  南向资金：净买入 13.2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14.09 亿  |  大单净 16.23 亿  |  涨家 16 / 跌家 14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本时段核心变化是：成长板块午后放量加速，但上证横盘、宽度中性，结构性进攻特征明显。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指数方向上，较上一时段呈现分化加速：深证成指+0.43%（+0.36pp）、创业板指+1.08%（+0.43pp）、科创50+0.03%（+0.61pp）、中证500+0.22%（+0.46pp）集体走强，其中创业板与科创50边际增幅最大；上证指数-0.01%（+0.21pp）、沪深300+0.08%（+0.20pp）横向拉锯。整体动能判断为</w:t>
      </w:r>
      <w:r>
        <w:rPr>
          <w:rFonts w:ascii="微软雅黑" w:hAnsi="微软雅黑" w:eastAsia="微软雅黑"/>
          <w:b/>
          <w:color w:val="D29922"/>
          <w:sz w:val="22"/>
        </w:rPr>
        <w:t>成长加速、权重滞涨</w:t>
      </w:r>
      <w:r>
        <w:rPr>
          <w:rFonts w:ascii="微软雅黑" w:hAnsi="微软雅黑" w:eastAsia="微软雅黑"/>
          <w:color w:val="1A1A1A"/>
          <w:sz w:val="22"/>
        </w:rPr>
        <w:t>，非全面反转。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量能维度：午后成交额17219亿，较上一时段放量24.2%，量能显著回升，市场参与度提升。结合涨跌比数据：全市场上涨499家、下跌478家，涨跌比49.9%，多空接近平衡，市场宽度未随指数加速而扩张，呈现</w:t>
      </w:r>
      <w:r>
        <w:rPr>
          <w:rFonts w:ascii="微软雅黑" w:hAnsi="微软雅黑" w:eastAsia="微软雅黑"/>
          <w:b/>
          <w:color w:val="D29922"/>
          <w:sz w:val="22"/>
        </w:rPr>
        <w:t>结构性放量</w:t>
      </w:r>
      <w:r>
        <w:rPr>
          <w:rFonts w:ascii="微软雅黑" w:hAnsi="微软雅黑" w:eastAsia="微软雅黑"/>
          <w:color w:val="1A1A1A"/>
          <w:sz w:val="22"/>
        </w:rPr>
        <w:t>而非普惠式上涨。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权重股虹吸效应测算：沪深300成交额约4395亿，占两市成交额17219亿的25.5%，远低于70%阈值，说明资金并未集中抱团权重，中小盘个股流动性正常。量能较上一时段放大24.2%，但权重占比维持低位，资金未出现防御性回流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板块轮动显示：次新股+1.37%领涨、陶瓷行业+1.14%、有色金属+0.35%；而酿酒行业-0.84%、生物制药-0.22%、电力行业-0.19%领跌。资金明显从防御性消费（白酒、医药）流出，转向次新、陶瓷、有色等题材进攻，与沪/深偏好41.2%（偏成长进攻）相互印证。量价配合上，放量上涨集中在深市成长板块，健康度尚可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外资偏好：沪市成交占比41.2%，处于“偏成长进攻”区间；但北向活跃度26830亿、外资占比155.8%异常（占比超过100%，疑为数据口径或单位问题），该指标本时段仅作活跃度参考，不用于方向判断。南向资金净买入+13.16亿，较上一时段减少7.6亿，较昨日同期大幅下降48.5亿，内资南下意愿明显减弱，有回流A股的倾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外部联动：恒生指数-0.92%、恒生科技-1.31%，离岸人民币基本持平；Python预判共识分数-4.8，看空为主，且较上一时段基本持平。但A股午后不跌反涨，形成明显内外背离。解读：外部走弱主要反映港股科技股调整，而A股内资主导、成长主线明确，未受外盘拖累，显示内部做多动能独立性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涨跌比当前位置49.9%，位于多空平衡区，未出现连续极端偏多或偏空，市场宽度正常波动。市场宽度方向由昨日21%升至今日45%，改善24个百分点，但仍未突破强势阈值（60%），说明反弹仅修复了部分情绪，尚未形成全面做多共识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短线情绪关键信号：昨日涨停溢价率-2.5%（中位数），打板亏钱效应扩散，今日需重点观察午后涨停封板率及连板高度。若溢价率维持负值，题材轮动难以持续，指数冲高后易出现获利了结，操作上不宜追高。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模块六：红黄绿灯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🔴 红灯：暂无触发。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🟡 黄灯（观望信号）：涨跌比50%处于多空平衡区，方向待选，减少仓位等待信号；板块轮动加速，主线不清晰，追涨易被套。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🟢 绿灯（进攻信号）：沪/深成交均衡（沪41%），外资活跃度数据虽异常但南向回流，量能放大支撑成长反弹。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