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 股量化报告 — 午盘总结</w:t>
      </w:r>
    </w:p>
    <w:p>
      <w:pPr>
        <w:jc w:val="center"/>
      </w:pPr>
      <w:r>
        <w:rPr>
          <w:color w:val="8B949E"/>
          <w:sz w:val="20"/>
        </w:rPr>
        <w:t>2026-08-11  |  模型: DeepSeek  |  量化交易视角</w:t>
      </w:r>
    </w:p>
    <w:p>
      <w:pPr>
        <w:pStyle w:val="Heading2"/>
      </w:pPr>
      <w:r>
        <w:t>核心指标速览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指数</w:t>
            </w:r>
          </w:p>
        </w:tc>
        <w:tc>
          <w:tcPr>
            <w:tcW w:type="dxa" w:w="2160"/>
          </w:tcPr>
          <w:p>
            <w:r>
              <w:t>点位</w:t>
            </w:r>
          </w:p>
        </w:tc>
        <w:tc>
          <w:tcPr>
            <w:tcW w:type="dxa" w:w="2160"/>
          </w:tcPr>
          <w:p>
            <w:r>
              <w:t>涨跌幅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上证指数</w:t>
            </w:r>
          </w:p>
        </w:tc>
        <w:tc>
          <w:tcPr>
            <w:tcW w:type="dxa" w:w="2160"/>
          </w:tcPr>
          <w:p>
            <w:r>
              <w:t>3964.96</w:t>
            </w:r>
          </w:p>
        </w:tc>
        <w:tc>
          <w:tcPr>
            <w:tcW w:type="dxa" w:w="2160"/>
          </w:tcPr>
          <w:p>
            <w:r>
              <w:t>-0.04%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深证成指</w:t>
            </w:r>
          </w:p>
        </w:tc>
        <w:tc>
          <w:tcPr>
            <w:tcW w:type="dxa" w:w="2160"/>
          </w:tcPr>
          <w:p>
            <w:r>
              <w:t>14409.91</w:t>
            </w:r>
          </w:p>
        </w:tc>
        <w:tc>
          <w:tcPr>
            <w:tcW w:type="dxa" w:w="2160"/>
          </w:tcPr>
          <w:p>
            <w:r>
              <w:t>+0.65%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创业板指</w:t>
            </w:r>
          </w:p>
        </w:tc>
        <w:tc>
          <w:tcPr>
            <w:tcW w:type="dxa" w:w="2160"/>
          </w:tcPr>
          <w:p>
            <w:r>
              <w:t>3586.84</w:t>
            </w:r>
          </w:p>
        </w:tc>
        <w:tc>
          <w:tcPr>
            <w:tcW w:type="dxa" w:w="2160"/>
          </w:tcPr>
          <w:p>
            <w:r>
              <w:t>+1.40%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科创50</w:t>
            </w:r>
          </w:p>
        </w:tc>
        <w:tc>
          <w:tcPr>
            <w:tcW w:type="dxa" w:w="2160"/>
          </w:tcPr>
          <w:p>
            <w:r>
              <w:t>1740.72</w:t>
            </w:r>
          </w:p>
        </w:tc>
        <w:tc>
          <w:tcPr>
            <w:tcW w:type="dxa" w:w="2160"/>
          </w:tcPr>
          <w:p>
            <w:r>
              <w:t>+0.17%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沪深300</w:t>
            </w:r>
          </w:p>
        </w:tc>
        <w:tc>
          <w:tcPr>
            <w:tcW w:type="dxa" w:w="2160"/>
          </w:tcPr>
          <w:p>
            <w:r>
              <w:t>4709.05</w:t>
            </w:r>
          </w:p>
        </w:tc>
        <w:tc>
          <w:tcPr>
            <w:tcW w:type="dxa" w:w="2160"/>
          </w:tcPr>
          <w:p>
            <w:r>
              <w:t>+0.15%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中证500</w:t>
            </w:r>
          </w:p>
        </w:tc>
        <w:tc>
          <w:tcPr>
            <w:tcW w:type="dxa" w:w="2160"/>
          </w:tcPr>
          <w:p>
            <w:r>
              <w:t>8062.79</w:t>
            </w:r>
          </w:p>
        </w:tc>
        <w:tc>
          <w:tcPr>
            <w:tcW w:type="dxa" w:w="2160"/>
          </w:tcPr>
          <w:p>
            <w:r>
              <w:t>+0.40%</w:t>
            </w:r>
          </w:p>
        </w:tc>
        <w:tc>
          <w:tcPr>
            <w:tcW w:type="dxa" w:w="2160"/>
          </w:tcPr>
          <w:p>
            <w:r/>
          </w:p>
        </w:tc>
      </w:tr>
    </w:tbl>
    <w:p/>
    <w:p>
      <w:r>
        <w:rPr>
          <w:b/>
        </w:rPr>
        <w:t>外资监测</w:t>
      </w:r>
    </w:p>
    <w:p>
      <w:r>
        <w:t xml:space="preserve">  北向活跃度：成交 22280 亿（高活跃度）</w:t>
      </w:r>
    </w:p>
    <w:p>
      <w:r>
        <w:t xml:space="preserve">  沪/深偏好：沪市 41%（偏成长进攻）</w:t>
      </w:r>
    </w:p>
    <w:p>
      <w:r>
        <w:t xml:space="preserve">  南向资金：净买入 14.8 亿（港股通，A股情绪反向指标）</w:t>
      </w:r>
      <w:r>
        <w:rPr>
          <w:color w:val="8B949E"/>
          <w:sz w:val="18"/>
        </w:rPr>
        <w:br/>
        <w:t xml:space="preserve">  注：北向净买入自2024年证监会新规后不再公开发布，方向由活跃度+南向+外部联动综合推断</w:t>
      </w:r>
    </w:p>
    <w:p>
      <w:r>
        <w:rPr>
          <w:b/>
        </w:rPr>
        <w:t>大资金方向（替代两融）：</w:t>
      </w:r>
      <w:r>
        <w:t>30 股聚合净流入 23.46 亿  |  大单净 22.75 亿  |  涨家 20 / 跌家 10</w:t>
      </w:r>
      <w:r>
        <w:rPr>
          <w:color w:val="8B949E"/>
          <w:sz w:val="18"/>
        </w:rPr>
        <w:br/>
        <w:t>注：数据来自新浪资金流（大单/特大单估算），非融资融券官方数据，仅供参考大资金方向</w:t>
      </w:r>
    </w:p>
    <w:p>
      <w:r>
        <w:rPr>
          <w:b/>
        </w:rPr>
        <w:t>宏观数据：</w:t>
      </w:r>
      <w:r>
        <w:t>CPI 0.5%  |  PPI 3.5%  |  PMI 49.2  |  M2 8.0%  |  LPR 1Y 3.0%</w:t>
      </w:r>
    </w:p>
    <w:p/>
    <w:p>
      <w:pPr>
        <w:pStyle w:val="Heading2"/>
      </w:pPr>
      <w:r>
        <w:t>量化分析</w:t>
      </w:r>
    </w:p>
    <w:p>
      <w:pPr>
        <w:spacing w:after="120"/>
      </w:pPr>
      <w:r>
        <w:rPr>
          <w:rFonts w:ascii="微软雅黑" w:hAnsi="微软雅黑" w:eastAsia="微软雅黑"/>
          <w:color w:val="1A1A1A"/>
          <w:sz w:val="22"/>
        </w:rPr>
        <w:t>本时段核心变化是：指数加速上涨但涨跌比恶化至38.3%，成交额环比放量超40%却出现明显的量价背离；板块在24小时内完成完全替换，从防御性消费切换至成长科技，且南向资金净买入大幅收窄，内资南下冲动减弱。</w:t>
      </w:r>
    </w:p>
    <w:p>
      <w:pPr>
        <w:pStyle w:val="Heading2"/>
      </w:pPr>
      <w:r>
        <w:rPr>
          <w:rFonts w:ascii="微软雅黑" w:hAnsi="微软雅黑" w:eastAsia="微软雅黑"/>
          <w:color w:val="1A1A1A"/>
          <w:sz w:val="22"/>
        </w:rPr>
        <w:t>一、市场概览</w:t>
      </w:r>
    </w:p>
    <w:p>
      <w:pPr>
        <w:spacing w:after="120"/>
      </w:pPr>
      <w:r>
        <w:rPr>
          <w:rFonts w:ascii="微软雅黑" w:hAnsi="微软雅黑" w:eastAsia="微软雅黑"/>
          <w:color w:val="1A1A1A"/>
          <w:sz w:val="22"/>
        </w:rPr>
        <w:t>上午收盘，市场呈现强烈的结构性分化。深成指与创业板指加速上涨，而上涨指数原地踏步。这并非普涨格局，上涨家数仅383家，占比不足四成，资金的攻击方向高度集中在少数成长板块，属于典型的“指数行情”。</w:t>
      </w:r>
    </w:p>
    <w:p>
      <w:pPr>
        <w:pStyle w:val="Heading2"/>
      </w:pPr>
      <w:r>
        <w:rPr>
          <w:rFonts w:ascii="微软雅黑" w:hAnsi="微软雅黑" w:eastAsia="微软雅黑"/>
          <w:color w:val="1A1A1A"/>
          <w:sz w:val="22"/>
        </w:rPr>
        <w:t>二、核心指标</w:t>
      </w:r>
    </w:p>
    <w:p>
      <w:pPr>
        <w:pStyle w:val="ListBullet"/>
        <w:spacing w:after="40"/>
      </w:pPr>
      <w:r>
        <w:rPr>
          <w:rFonts w:ascii="微软雅黑" w:hAnsi="微软雅黑" w:eastAsia="微软雅黑"/>
          <w:b/>
          <w:color w:val="D29922"/>
          <w:sz w:val="22"/>
        </w:rPr>
        <w:t>涨跌比</w:t>
      </w:r>
      <w:r>
        <w:rPr>
          <w:rFonts w:ascii="微软雅黑" w:hAnsi="微软雅黑" w:eastAsia="微软雅黑"/>
          <w:color w:val="1A1A1A"/>
          <w:sz w:val="22"/>
        </w:rPr>
        <w:t>：383:604，上涨比率38.3%。指数普涨但多数个股下跌，赚钱效应并未扩散，市场宽度收窄。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b/>
          <w:color w:val="D29922"/>
          <w:sz w:val="22"/>
        </w:rPr>
        <w:t>成交额</w:t>
      </w:r>
      <w:r>
        <w:rPr>
          <w:rFonts w:ascii="微软雅黑" w:hAnsi="微软雅黑" w:eastAsia="微软雅黑"/>
          <w:color w:val="1A1A1A"/>
          <w:sz w:val="22"/>
        </w:rPr>
        <w:t>：半日成交15,191亿。较上一时段（10:31）放量40.8%，但与昨日同期相比仍缩量12.4%。这说明早盘10:30后资金集中涌入，但整体追高意愿并未超越昨日。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b/>
          <w:color w:val="D29922"/>
          <w:sz w:val="22"/>
        </w:rPr>
        <w:t>外资监测</w:t>
      </w:r>
      <w:r>
        <w:rPr>
          <w:rFonts w:ascii="微软雅黑" w:hAnsi="微软雅黑" w:eastAsia="微软雅黑"/>
          <w:color w:val="1A1A1A"/>
          <w:sz w:val="22"/>
        </w:rPr>
        <w:t>：</w:t>
      </w:r>
    </w:p>
    <w:p>
      <w:pPr>
        <w:pStyle w:val="ListBullet"/>
        <w:spacing w:after="40"/>
      </w:pPr>
      <w:r>
        <w:rPr>
          <w:rFonts w:ascii="微软雅黑" w:hAnsi="微软雅黑" w:eastAsia="微软雅黑"/>
          <w:b/>
          <w:color w:val="D29922"/>
          <w:sz w:val="22"/>
        </w:rPr>
        <w:t>活跃度</w:t>
      </w:r>
      <w:r>
        <w:rPr>
          <w:rFonts w:ascii="微软雅黑" w:hAnsi="微软雅黑" w:eastAsia="微软雅黑"/>
          <w:color w:val="1A1A1A"/>
          <w:sz w:val="22"/>
        </w:rPr>
        <w:t>：外资成交总额22,280亿，参与热度极高，但需注意这与成交额数据口径一致，实际代表了全市场高水平博弈。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b/>
          <w:color w:val="D29922"/>
          <w:sz w:val="22"/>
        </w:rPr>
        <w:t>风格偏好</w:t>
      </w:r>
      <w:r>
        <w:rPr>
          <w:rFonts w:ascii="微软雅黑" w:hAnsi="微软雅黑" w:eastAsia="微软雅黑"/>
          <w:color w:val="1A1A1A"/>
          <w:sz w:val="22"/>
        </w:rPr>
        <w:t>：沪市成交占比41%，维持“偏成长进攻”态势，与今日创业板领涨的风格吻合。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b/>
          <w:color w:val="D29922"/>
          <w:sz w:val="22"/>
        </w:rPr>
        <w:t>南向资金</w:t>
      </w:r>
      <w:r>
        <w:rPr>
          <w:rFonts w:ascii="微软雅黑" w:hAnsi="微软雅黑" w:eastAsia="微软雅黑"/>
          <w:color w:val="1A1A1A"/>
          <w:sz w:val="22"/>
        </w:rPr>
        <w:t>：港股通净买入14.8亿，较昨日同期净买入大幅减少23亿。内资南下抄底港股的步伐显著放缓，有资金回流A股的迹象，对A股情绪形成正向反馈。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b/>
          <w:color w:val="D29922"/>
          <w:sz w:val="22"/>
        </w:rPr>
        <w:t>外部联动</w:t>
      </w:r>
      <w:r>
        <w:rPr>
          <w:rFonts w:ascii="微软雅黑" w:hAnsi="微软雅黑" w:eastAsia="微软雅黑"/>
          <w:color w:val="1A1A1A"/>
          <w:sz w:val="22"/>
        </w:rPr>
        <w:t>：离岸人民币微幅升值（-0.02%），恒生科技指数小幅上涨0.27%，形成弱共振，略偏正面但信号不强。</w:t>
      </w:r>
    </w:p>
    <w:p>
      <w:pPr>
        <w:pStyle w:val="Heading2"/>
      </w:pPr>
      <w:r>
        <w:rPr>
          <w:rFonts w:ascii="微软雅黑" w:hAnsi="微软雅黑" w:eastAsia="微软雅黑"/>
          <w:color w:val="1A1A1A"/>
          <w:sz w:val="22"/>
        </w:rPr>
        <w:t>三、板块热点</w:t>
      </w:r>
    </w:p>
    <w:p>
      <w:pPr>
        <w:pStyle w:val="ListBullet"/>
        <w:spacing w:after="40"/>
      </w:pPr>
      <w:r>
        <w:rPr>
          <w:rFonts w:ascii="微软雅黑" w:hAnsi="微软雅黑" w:eastAsia="微软雅黑"/>
          <w:b/>
          <w:color w:val="D29922"/>
          <w:sz w:val="22"/>
        </w:rPr>
        <w:t>领涨方向</w:t>
      </w:r>
      <w:r>
        <w:rPr>
          <w:rFonts w:ascii="微软雅黑" w:hAnsi="微软雅黑" w:eastAsia="微软雅黑"/>
          <w:color w:val="1A1A1A"/>
          <w:sz w:val="22"/>
        </w:rPr>
        <w:t>：生物制药、电子器件、电器行业等科技成长板块领涨。较昨日同期，领涨板块被</w:t>
      </w:r>
      <w:r>
        <w:rPr>
          <w:rFonts w:ascii="微软雅黑" w:hAnsi="微软雅黑" w:eastAsia="微软雅黑"/>
          <w:color w:val="1A1A1A"/>
          <w:sz w:val="22"/>
        </w:rPr>
        <w:t>完全替换</w:t>
      </w:r>
      <w:r>
        <w:rPr>
          <w:rFonts w:ascii="微软雅黑" w:hAnsi="微软雅黑" w:eastAsia="微软雅黑"/>
          <w:color w:val="1A1A1A"/>
          <w:sz w:val="22"/>
        </w:rPr>
        <w:t>（昨日为酿酒、食品、酒店旅游），轮动速度极快。领涨个股中，医药生物（迈威生物、百花医药、义翘神州）和电子元器件（风华高科、中瓷电子）形成明显集群效应。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b/>
          <w:color w:val="D29922"/>
          <w:sz w:val="22"/>
        </w:rPr>
        <w:t>领跌方向</w:t>
      </w:r>
      <w:r>
        <w:rPr>
          <w:rFonts w:ascii="微软雅黑" w:hAnsi="微软雅黑" w:eastAsia="微软雅黑"/>
          <w:color w:val="1A1A1A"/>
          <w:sz w:val="22"/>
        </w:rPr>
        <w:t>：飞机制造、次新股、酿酒行业跌幅居前。防御性消费板块（酿酒、食品）一日游后迅速退潮，表明其上涨不具备持续性，仅为轮动中的短暂修复。</w:t>
      </w:r>
    </w:p>
    <w:p>
      <w:pPr>
        <w:pStyle w:val="Heading2"/>
      </w:pPr>
      <w:r>
        <w:rPr>
          <w:rFonts w:ascii="微软雅黑" w:hAnsi="微软雅黑" w:eastAsia="微软雅黑"/>
          <w:color w:val="1A1A1A"/>
          <w:sz w:val="22"/>
        </w:rPr>
        <w:t>四、技术信号</w:t>
      </w:r>
    </w:p>
    <w:p>
      <w:pPr>
        <w:spacing w:after="120"/>
      </w:pPr>
      <w:r>
        <w:rPr>
          <w:rFonts w:ascii="微软雅黑" w:hAnsi="微软雅黑" w:eastAsia="微软雅黑"/>
          <w:color w:val="1A1A1A"/>
          <w:sz w:val="22"/>
        </w:rPr>
        <w:t>创业板指以1.40%的涨幅加速上攻，较昨日同期动能增加3.57个百分点（pp），突破形态显著。深成指同步加速，涨0.65%，较前后两个时段均有动能增强。然而，上证指数与科创50则表现为横盘或微弱跟涨。这种分化的技术形态意味着资金并未全面做多，而是集中火力于特定指数，一旦龙头板块熄火，市场将面临快速回调风险。</w:t>
      </w:r>
    </w:p>
    <w:p>
      <w:pPr>
        <w:pStyle w:val="Heading2"/>
      </w:pPr>
      <w:r>
        <w:rPr>
          <w:rFonts w:ascii="微软雅黑" w:hAnsi="微软雅黑" w:eastAsia="微软雅黑"/>
          <w:color w:val="1A1A1A"/>
          <w:sz w:val="22"/>
        </w:rPr>
        <w:t>五、量化视角</w:t>
      </w:r>
    </w:p>
    <w:p>
      <w:pPr>
        <w:pStyle w:val="ListBullet"/>
        <w:spacing w:after="40"/>
      </w:pPr>
      <w:r>
        <w:rPr>
          <w:rFonts w:ascii="微软雅黑" w:hAnsi="微软雅黑" w:eastAsia="微软雅黑"/>
          <w:b/>
          <w:color w:val="D29922"/>
          <w:sz w:val="22"/>
        </w:rPr>
        <w:t>量价背离警示</w:t>
      </w:r>
      <w:r>
        <w:rPr>
          <w:rFonts w:ascii="微软雅黑" w:hAnsi="微软雅黑" w:eastAsia="微软雅黑"/>
          <w:color w:val="1A1A1A"/>
          <w:sz w:val="22"/>
        </w:rPr>
        <w:t>：成交额环比大幅放量40.8%，但上涨家数占比反而下降至38.3%。这是典型的“放量滞涨”（仅对多数个股而言），资金利用宽基指数的上涨掩护，在大部分个股上进行派发或调仓。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b/>
          <w:color w:val="D29922"/>
          <w:sz w:val="22"/>
        </w:rPr>
        <w:t>资金流向</w:t>
      </w:r>
      <w:r>
        <w:rPr>
          <w:rFonts w:ascii="微软雅黑" w:hAnsi="微软雅黑" w:eastAsia="微软雅黑"/>
          <w:color w:val="1A1A1A"/>
          <w:sz w:val="22"/>
        </w:rPr>
        <w:t>：从昨日数据（8/10）看，大单资金仍为净流入23.46亿，显示机构资金在昨日有布局动作。今日资金集中涌入医药和电子，后续需观察其持续性。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b/>
          <w:color w:val="D29922"/>
          <w:sz w:val="22"/>
        </w:rPr>
        <w:t>市场宽度</w:t>
      </w:r>
      <w:r>
        <w:rPr>
          <w:rFonts w:ascii="微软雅黑" w:hAnsi="微软雅黑" w:eastAsia="微软雅黑"/>
          <w:color w:val="1A1A1A"/>
          <w:sz w:val="22"/>
        </w:rPr>
        <w:t>：显著恶化。市场从昨日的相对均衡转向“一九分化”，操作难度加大。</w:t>
      </w:r>
    </w:p>
    <w:p>
      <w:pPr>
        <w:pStyle w:val="Heading2"/>
      </w:pPr>
      <w:r>
        <w:rPr>
          <w:rFonts w:ascii="微软雅黑" w:hAnsi="微软雅黑" w:eastAsia="微软雅黑"/>
          <w:color w:val="1A1A1A"/>
          <w:sz w:val="22"/>
        </w:rPr>
        <w:t>六、宏观背景</w:t>
      </w:r>
    </w:p>
    <w:p>
      <w:pPr>
        <w:spacing w:after="120"/>
      </w:pPr>
      <w:r>
        <w:rPr>
          <w:rFonts w:ascii="微软雅黑" w:hAnsi="微软雅黑" w:eastAsia="微软雅黑"/>
          <w:color w:val="1A1A1A"/>
          <w:sz w:val="22"/>
        </w:rPr>
        <w:t>最新公布的7月CPI同比0.5%，涨幅回落；PPI同比3.5%，也较前值回落。通胀数据均低于预期，对货币政策不构成掣肘，流动性收紧的风险较低。但7月制造业PMI已跌至49.2的荣枯线以下，基本面压力依然存在。当前市场的上涨并非由宏观基本面驱动，更多是流动性和情绪在存量博弈下的结构性选择。LPR连续14个月不变，宏观政策环境处于平淡期。</w:t>
      </w:r>
    </w:p>
    <w:p>
      <w:pPr>
        <w:pStyle w:val="Heading2"/>
      </w:pPr>
      <w:r>
        <w:rPr>
          <w:rFonts w:ascii="微软雅黑" w:hAnsi="微软雅黑" w:eastAsia="微软雅黑"/>
          <w:color w:val="1A1A1A"/>
          <w:sz w:val="22"/>
        </w:rPr>
        <w:t>七、风险提示</w:t>
      </w:r>
    </w:p>
    <w:p>
      <w:pPr>
        <w:pStyle w:val="ListBullet"/>
        <w:spacing w:after="40"/>
      </w:pPr>
      <w:r>
        <w:rPr>
          <w:rFonts w:ascii="微软雅黑" w:hAnsi="微软雅黑" w:eastAsia="微软雅黑"/>
          <w:b/>
          <w:color w:val="D29922"/>
          <w:sz w:val="22"/>
        </w:rPr>
        <w:t>板块一日游风险</w:t>
      </w:r>
      <w:r>
        <w:rPr>
          <w:rFonts w:ascii="微软雅黑" w:hAnsi="微软雅黑" w:eastAsia="微软雅黑"/>
          <w:color w:val="1A1A1A"/>
          <w:sz w:val="22"/>
        </w:rPr>
        <w:t>：昨日领涨的消费板块今日领跌，轮动过快是市场脆弱性的表现。今日追高医药、电子的资金，需警惕明日出现同样剧本。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b/>
          <w:color w:val="D29922"/>
          <w:sz w:val="22"/>
        </w:rPr>
        <w:t>量价背离与外力干预</w:t>
      </w:r>
      <w:r>
        <w:rPr>
          <w:rFonts w:ascii="微软雅黑" w:hAnsi="微软雅黑" w:eastAsia="微软雅黑"/>
          <w:color w:val="1A1A1A"/>
          <w:sz w:val="22"/>
        </w:rPr>
        <w:t>：创业板指加速上涨但个股涨跌比恶化，存在权重股拉抬指数的可能，午后若成交量无法继续跟进，指数易出现冲高回落。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b/>
          <w:color w:val="D29922"/>
          <w:sz w:val="22"/>
        </w:rPr>
        <w:t>外资数据解读风险</w:t>
      </w:r>
      <w:r>
        <w:rPr>
          <w:rFonts w:ascii="微软雅黑" w:hAnsi="微软雅黑" w:eastAsia="微软雅黑"/>
          <w:color w:val="1A1A1A"/>
          <w:sz w:val="22"/>
        </w:rPr>
        <w:t>：尽管外资活跃度高，但在缺乏净买入方向数据的情况下，无法确认其是单边买入还是多空博弈加剧。需结合南向资金净买入收窄的积极信号综合判断，整体情绪分歧加大。</w:t>
      </w:r>
    </w:p>
    <w:p>
      <w:pPr>
        <w:spacing w:after="120"/>
      </w:pPr>
      <w:r>
        <w:rPr>
          <w:rFonts w:ascii="微软雅黑" w:hAnsi="微软雅黑" w:eastAsia="微软雅黑"/>
          <w:color w:val="1A1A1A"/>
          <w:sz w:val="22"/>
        </w:rPr>
        <w:t>⚠️ 免责声明：本报告由 AI 自动生成，仅供参考，不构成任何投资建议。投资有风险，入市需谨慎。报告中的数据来源于公开接口，不对其准确性做任何保证。</w:t>
      </w:r>
    </w:p>
    <w:p/>
    <w:p>
      <w:r>
        <w:rPr>
          <w:color w:val="8B949E"/>
          <w:sz w:val="16"/>
        </w:rPr>
        <w:t>⚠️ 免责声明：本报告由 AI 自动生成，仅供参考，不构成任何投资建议。投资有风险，入市需谨慎。报告中的数据来源于公开接口，不对其准确性做任何保证。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