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股量化报告 — 收盘报告</w:t>
      </w:r>
    </w:p>
    <w:p>
      <w:pPr>
        <w:jc w:val="center"/>
      </w:pPr>
      <w:r>
        <w:rPr>
          <w:color w:val="8B949E"/>
          <w:sz w:val="20"/>
        </w:rPr>
        <w:t>2026-07-31  |  模型: DeepSeek  |  量化交易视角</w:t>
      </w:r>
    </w:p>
    <w:p>
      <w:pPr>
        <w:pStyle w:val="Heading2"/>
      </w:pPr>
      <w:r>
        <w:t>核心指标速览</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指数</w:t>
            </w:r>
          </w:p>
        </w:tc>
        <w:tc>
          <w:tcPr>
            <w:tcW w:type="dxa" w:w="2160"/>
          </w:tcPr>
          <w:p>
            <w:r>
              <w:t>点位</w:t>
            </w:r>
          </w:p>
        </w:tc>
        <w:tc>
          <w:tcPr>
            <w:tcW w:type="dxa" w:w="2160"/>
          </w:tcPr>
          <w:p>
            <w:r>
              <w:t>涨跌幅</w:t>
            </w:r>
          </w:p>
        </w:tc>
        <w:tc>
          <w:tcPr>
            <w:tcW w:type="dxa" w:w="2160"/>
          </w:tcPr>
          <w:p>
            <w:r/>
          </w:p>
        </w:tc>
      </w:tr>
      <w:tr>
        <w:tc>
          <w:tcPr>
            <w:tcW w:type="dxa" w:w="2160"/>
          </w:tcPr>
          <w:p>
            <w:r>
              <w:t>上证指数</w:t>
            </w:r>
          </w:p>
        </w:tc>
        <w:tc>
          <w:tcPr>
            <w:tcW w:type="dxa" w:w="2160"/>
          </w:tcPr>
          <w:p>
            <w:r>
              <w:t>3835.24</w:t>
            </w:r>
          </w:p>
        </w:tc>
        <w:tc>
          <w:tcPr>
            <w:tcW w:type="dxa" w:w="2160"/>
          </w:tcPr>
          <w:p>
            <w:r>
              <w:t>+0.80%</w:t>
            </w:r>
          </w:p>
        </w:tc>
        <w:tc>
          <w:tcPr>
            <w:tcW w:type="dxa" w:w="2160"/>
          </w:tcPr>
          <w:p>
            <w:r/>
          </w:p>
        </w:tc>
      </w:tr>
      <w:tr>
        <w:tc>
          <w:tcPr>
            <w:tcW w:type="dxa" w:w="2160"/>
          </w:tcPr>
          <w:p>
            <w:r>
              <w:t>深证成指</w:t>
            </w:r>
          </w:p>
        </w:tc>
        <w:tc>
          <w:tcPr>
            <w:tcW w:type="dxa" w:w="2160"/>
          </w:tcPr>
          <w:p>
            <w:r>
              <w:t>13660.73</w:t>
            </w:r>
          </w:p>
        </w:tc>
        <w:tc>
          <w:tcPr>
            <w:tcW w:type="dxa" w:w="2160"/>
          </w:tcPr>
          <w:p>
            <w:r>
              <w:t>+2.82%</w:t>
            </w:r>
          </w:p>
        </w:tc>
        <w:tc>
          <w:tcPr>
            <w:tcW w:type="dxa" w:w="2160"/>
          </w:tcPr>
          <w:p>
            <w:r/>
          </w:p>
        </w:tc>
      </w:tr>
      <w:tr>
        <w:tc>
          <w:tcPr>
            <w:tcW w:type="dxa" w:w="2160"/>
          </w:tcPr>
          <w:p>
            <w:r>
              <w:t>创业板指</w:t>
            </w:r>
          </w:p>
        </w:tc>
        <w:tc>
          <w:tcPr>
            <w:tcW w:type="dxa" w:w="2160"/>
          </w:tcPr>
          <w:p>
            <w:r>
              <w:t>3379.11</w:t>
            </w:r>
          </w:p>
        </w:tc>
        <w:tc>
          <w:tcPr>
            <w:tcW w:type="dxa" w:w="2160"/>
          </w:tcPr>
          <w:p>
            <w:r>
              <w:t>+4.15%</w:t>
            </w:r>
          </w:p>
        </w:tc>
        <w:tc>
          <w:tcPr>
            <w:tcW w:type="dxa" w:w="2160"/>
          </w:tcPr>
          <w:p>
            <w:r/>
          </w:p>
        </w:tc>
      </w:tr>
      <w:tr>
        <w:tc>
          <w:tcPr>
            <w:tcW w:type="dxa" w:w="2160"/>
          </w:tcPr>
          <w:p>
            <w:r>
              <w:t>科创50</w:t>
            </w:r>
          </w:p>
        </w:tc>
        <w:tc>
          <w:tcPr>
            <w:tcW w:type="dxa" w:w="2160"/>
          </w:tcPr>
          <w:p>
            <w:r>
              <w:t>1662.06</w:t>
            </w:r>
          </w:p>
        </w:tc>
        <w:tc>
          <w:tcPr>
            <w:tcW w:type="dxa" w:w="2160"/>
          </w:tcPr>
          <w:p>
            <w:r>
              <w:t>+4.64%</w:t>
            </w:r>
          </w:p>
        </w:tc>
        <w:tc>
          <w:tcPr>
            <w:tcW w:type="dxa" w:w="2160"/>
          </w:tcPr>
          <w:p>
            <w:r/>
          </w:p>
        </w:tc>
      </w:tr>
      <w:tr>
        <w:tc>
          <w:tcPr>
            <w:tcW w:type="dxa" w:w="2160"/>
          </w:tcPr>
          <w:p>
            <w:r>
              <w:t>沪深300</w:t>
            </w:r>
          </w:p>
        </w:tc>
        <w:tc>
          <w:tcPr>
            <w:tcW w:type="dxa" w:w="2160"/>
          </w:tcPr>
          <w:p>
            <w:r>
              <w:t>4600.79</w:t>
            </w:r>
          </w:p>
        </w:tc>
        <w:tc>
          <w:tcPr>
            <w:tcW w:type="dxa" w:w="2160"/>
          </w:tcPr>
          <w:p>
            <w:r>
              <w:t>+1.12%</w:t>
            </w:r>
          </w:p>
        </w:tc>
        <w:tc>
          <w:tcPr>
            <w:tcW w:type="dxa" w:w="2160"/>
          </w:tcPr>
          <w:p>
            <w:r/>
          </w:p>
        </w:tc>
      </w:tr>
      <w:tr>
        <w:tc>
          <w:tcPr>
            <w:tcW w:type="dxa" w:w="2160"/>
          </w:tcPr>
          <w:p>
            <w:r>
              <w:t>中证500</w:t>
            </w:r>
          </w:p>
        </w:tc>
        <w:tc>
          <w:tcPr>
            <w:tcW w:type="dxa" w:w="2160"/>
          </w:tcPr>
          <w:p>
            <w:r>
              <w:t>7540.97</w:t>
            </w:r>
          </w:p>
        </w:tc>
        <w:tc>
          <w:tcPr>
            <w:tcW w:type="dxa" w:w="2160"/>
          </w:tcPr>
          <w:p>
            <w:r>
              <w:t>+3.17%</w:t>
            </w:r>
          </w:p>
        </w:tc>
        <w:tc>
          <w:tcPr>
            <w:tcW w:type="dxa" w:w="2160"/>
          </w:tcPr>
          <w:p>
            <w:r/>
          </w:p>
        </w:tc>
      </w:tr>
    </w:tbl>
    <w:p/>
    <w:p>
      <w:r>
        <w:rPr>
          <w:b/>
        </w:rPr>
        <w:t>北向资金：净流出 30.68 亿</w:t>
      </w:r>
      <w:r>
        <w:t xml:space="preserve">  |  沪股通 -9.28 亿  |  数据源: hexin</w:t>
      </w:r>
    </w:p>
    <w:p>
      <w:r>
        <w:rPr>
          <w:b/>
        </w:rPr>
        <w:t>大资金方向（替代两融）：</w:t>
      </w:r>
      <w:r>
        <w:t>30 股聚合净流入 109.82 亿  |  大单净 110.09 亿  |  涨家 25 / 跌家 5</w:t>
      </w:r>
      <w:r>
        <w:rPr>
          <w:color w:val="8B949E"/>
          <w:sz w:val="18"/>
        </w:rPr>
        <w:br/>
        <w:t>注：数据来自新浪资金流（大单/特大单估算），非融资融券官方数据，仅供参考大资金方向</w:t>
      </w:r>
    </w:p>
    <w:p>
      <w:r>
        <w:rPr>
          <w:b/>
        </w:rPr>
        <w:t>宏观数据：</w:t>
      </w:r>
      <w:r>
        <w:t>CPI 1.0%  |  PPI 4.1%  |  PMI 50.3  |  M2 8.0%  |  LPR 1Y 3.0%</w:t>
      </w:r>
    </w:p>
    <w:p/>
    <w:p>
      <w:pPr>
        <w:pStyle w:val="Heading2"/>
      </w:pPr>
      <w:r>
        <w:t>量化分析</w:t>
      </w:r>
    </w:p>
    <w:p>
      <w:pPr>
        <w:pStyle w:val="Heading2"/>
      </w:pPr>
      <w:r>
        <w:rPr>
          <w:rFonts w:ascii="微软雅黑" w:hAnsi="微软雅黑" w:eastAsia="微软雅黑"/>
          <w:color w:val="1A1A1A"/>
          <w:sz w:val="22"/>
        </w:rPr>
        <w:t>市场概览</w:t>
      </w:r>
    </w:p>
    <w:p>
      <w:pPr>
        <w:spacing w:after="120"/>
      </w:pPr>
      <w:r>
        <w:rPr>
          <w:rFonts w:ascii="微软雅黑" w:hAnsi="微软雅黑" w:eastAsia="微软雅黑"/>
          <w:color w:val="1A1A1A"/>
          <w:sz w:val="22"/>
        </w:rPr>
        <w:t>今日A股市场呈现“权重搭台，成长唱戏”的鲜明格局。在超过94%的个股收红、仅有56家下跌的普涨狂欢中，流动性溢价向科技成长方向猛烈倾斜。科创50与创业板指分别暴涨超4.6%和4.1%，而沪指仅温和收涨0.8%，清晰地指明了日内资金的主攻方向。</w:t>
      </w:r>
    </w:p>
    <w:p>
      <w:pPr>
        <w:pStyle w:val="Heading2"/>
      </w:pPr>
      <w:r>
        <w:rPr>
          <w:rFonts w:ascii="微软雅黑" w:hAnsi="微软雅黑" w:eastAsia="微软雅黑"/>
          <w:color w:val="1A1A1A"/>
          <w:sz w:val="22"/>
        </w:rPr>
        <w:t>核心指标</w:t>
      </w:r>
    </w:p>
    <w:p>
      <w:pPr>
        <w:pStyle w:val="ListBullet"/>
        <w:spacing w:after="40"/>
      </w:pPr>
      <w:r>
        <w:rPr>
          <w:rFonts w:ascii="微软雅黑" w:hAnsi="微软雅黑" w:eastAsia="微软雅黑"/>
          <w:b/>
          <w:color w:val="D29922"/>
          <w:sz w:val="22"/>
        </w:rPr>
        <w:t>涨跌比与情绪</w:t>
      </w:r>
      <w:r>
        <w:rPr>
          <w:rFonts w:ascii="微软雅黑" w:hAnsi="微软雅黑" w:eastAsia="微软雅黑"/>
          <w:color w:val="1A1A1A"/>
          <w:sz w:val="22"/>
        </w:rPr>
        <w:t>：上涨942家 vs 下跌56家，涨跌比高达16.8:1。涨停80家，跌停0家。此数据表明市场情绪达到短期极致，做多动能高度亢奋。</w:t>
      </w:r>
    </w:p>
    <w:p>
      <w:pPr>
        <w:pStyle w:val="ListBullet"/>
        <w:spacing w:after="40"/>
      </w:pPr>
      <w:r>
        <w:rPr>
          <w:rFonts w:ascii="微软雅黑" w:hAnsi="微软雅黑" w:eastAsia="微软雅黑"/>
          <w:b/>
          <w:color w:val="D29922"/>
          <w:sz w:val="22"/>
        </w:rPr>
        <w:t>成交额</w:t>
      </w:r>
      <w:r>
        <w:rPr>
          <w:rFonts w:ascii="微软雅黑" w:hAnsi="微软雅黑" w:eastAsia="微软雅黑"/>
          <w:color w:val="1A1A1A"/>
          <w:sz w:val="22"/>
        </w:rPr>
        <w:t>：沪深两市总成交额预计为2.18万亿元，换手率达4.3%。量能有效放大，支撑了科技板块的全面爆发。</w:t>
      </w:r>
    </w:p>
    <w:p>
      <w:pPr>
        <w:pStyle w:val="ListBullet"/>
        <w:spacing w:after="40"/>
      </w:pPr>
      <w:r>
        <w:rPr>
          <w:rFonts w:ascii="微软雅黑" w:hAnsi="微软雅黑" w:eastAsia="微软雅黑"/>
          <w:b/>
          <w:color w:val="D29922"/>
          <w:sz w:val="22"/>
        </w:rPr>
        <w:t>北向资金</w:t>
      </w:r>
      <w:r>
        <w:rPr>
          <w:rFonts w:ascii="微软雅黑" w:hAnsi="微软雅黑" w:eastAsia="微软雅黑"/>
          <w:color w:val="1A1A1A"/>
          <w:sz w:val="22"/>
        </w:rPr>
        <w:t>：全日净流出30.68亿元，与内资的狂热形成鲜明背离。其中深股通净流出21.4亿元，显示外资在深市大涨中进行减持，需警惕内外资分歧加剧。</w:t>
      </w:r>
    </w:p>
    <w:p>
      <w:pPr>
        <w:pStyle w:val="ListBullet"/>
        <w:spacing w:after="40"/>
      </w:pPr>
      <w:r>
        <w:rPr>
          <w:rFonts w:ascii="微软雅黑" w:hAnsi="微软雅黑" w:eastAsia="微软雅黑"/>
          <w:b/>
          <w:color w:val="D29922"/>
          <w:sz w:val="22"/>
        </w:rPr>
        <w:t>大单资金</w:t>
      </w:r>
      <w:r>
        <w:rPr>
          <w:rFonts w:ascii="微软雅黑" w:hAnsi="微软雅黑" w:eastAsia="微软雅黑"/>
          <w:color w:val="1A1A1A"/>
          <w:sz w:val="22"/>
        </w:rPr>
        <w:t>：监控样本显示大单/特大单合计净流入110.09亿元，是驱动今日行情的核心主力。</w:t>
      </w:r>
    </w:p>
    <w:p>
      <w:pPr>
        <w:pStyle w:val="Heading2"/>
      </w:pPr>
      <w:r>
        <w:rPr>
          <w:rFonts w:ascii="微软雅黑" w:hAnsi="微软雅黑" w:eastAsia="微软雅黑"/>
          <w:color w:val="1A1A1A"/>
          <w:sz w:val="22"/>
        </w:rPr>
        <w:t>板块热点</w:t>
      </w:r>
    </w:p>
    <w:p>
      <w:pPr>
        <w:spacing w:after="120"/>
      </w:pPr>
      <w:r>
        <w:rPr>
          <w:rFonts w:ascii="微软雅黑" w:hAnsi="微软雅黑" w:eastAsia="微软雅黑"/>
          <w:b/>
          <w:color w:val="D29922"/>
          <w:sz w:val="22"/>
        </w:rPr>
        <w:t>领涨主线：</w:t>
      </w:r>
      <w:r>
        <w:rPr>
          <w:rFonts w:ascii="微软雅黑" w:hAnsi="微软雅黑" w:eastAsia="微软雅黑"/>
          <w:color w:val="1A1A1A"/>
          <w:sz w:val="22"/>
        </w:rPr>
        <w:t>次新股（+3.65%）、电子器件（+0.98%）、电子信息（+0.76%）领衔。这背后是国产替代逻辑延续与AI+应用端商业化预期升温的共振。涨停潮中，中文在线、昆仑万维、蓝色光标等AI应用概念股批量20CM涨停，标志着资金正从硬件基础设施向软件应用端（AIGC、IP）渗透。</w:t>
      </w:r>
    </w:p>
    <w:p>
      <w:pPr>
        <w:spacing w:after="120"/>
      </w:pPr>
      <w:r>
        <w:rPr>
          <w:rFonts w:ascii="微软雅黑" w:hAnsi="微软雅黑" w:eastAsia="微软雅黑"/>
          <w:b/>
          <w:color w:val="D29922"/>
          <w:sz w:val="22"/>
        </w:rPr>
        <w:t>弱势板块：</w:t>
      </w:r>
      <w:r>
        <w:rPr>
          <w:rFonts w:ascii="微软雅黑" w:hAnsi="微软雅黑" w:eastAsia="微软雅黑"/>
          <w:color w:val="1A1A1A"/>
          <w:sz w:val="22"/>
        </w:rPr>
        <w:t>酿酒行业（-0.22%）是唯一下跌的行业板块。钢铁、建材等传统周期股也出现在跌幅榜上，表明机构资金在场内积极腾挪，从防御性价值板块撤出，转投高弹性成长赛道。</w:t>
      </w:r>
    </w:p>
    <w:p>
      <w:pPr>
        <w:pStyle w:val="Heading2"/>
      </w:pPr>
      <w:r>
        <w:rPr>
          <w:rFonts w:ascii="微软雅黑" w:hAnsi="微软雅黑" w:eastAsia="微软雅黑"/>
          <w:color w:val="1A1A1A"/>
          <w:sz w:val="22"/>
        </w:rPr>
        <w:t>技术信号</w:t>
      </w:r>
    </w:p>
    <w:p>
      <w:pPr>
        <w:pStyle w:val="ListBullet"/>
        <w:spacing w:after="40"/>
      </w:pPr>
      <w:r>
        <w:rPr>
          <w:rFonts w:ascii="微软雅黑" w:hAnsi="微软雅黑" w:eastAsia="微软雅黑"/>
          <w:b/>
          <w:color w:val="D29922"/>
          <w:sz w:val="22"/>
        </w:rPr>
        <w:t>科创50</w:t>
      </w:r>
      <w:r>
        <w:rPr>
          <w:rFonts w:ascii="微软雅黑" w:hAnsi="微软雅黑" w:eastAsia="微软雅黑"/>
          <w:color w:val="1A1A1A"/>
          <w:sz w:val="22"/>
        </w:rPr>
        <w:t>：今日以4.64%的涨幅领冠全场。一根长阳突破近期盘整平台，形成明确的攻击形态。MACD快慢线金叉开口放大，红柱动能显著增强；RSI快速进入超买区域，但强势行情中该指标会钝化，后续重点看量能持续性。</w:t>
      </w:r>
    </w:p>
    <w:p>
      <w:pPr>
        <w:pStyle w:val="ListBullet"/>
        <w:spacing w:after="40"/>
      </w:pPr>
      <w:r>
        <w:rPr>
          <w:rFonts w:ascii="微软雅黑" w:hAnsi="微软雅黑" w:eastAsia="微软雅黑"/>
          <w:b/>
          <w:color w:val="D29922"/>
          <w:sz w:val="22"/>
        </w:rPr>
        <w:t>创业板指</w:t>
      </w:r>
      <w:r>
        <w:rPr>
          <w:rFonts w:ascii="微软雅黑" w:hAnsi="微软雅黑" w:eastAsia="微软雅黑"/>
          <w:color w:val="1A1A1A"/>
          <w:sz w:val="22"/>
        </w:rPr>
        <w:t>：同样放量收出长阳，收于3379点，逼近前期高点。KDJ指标J线高位钝化，表明当前处于极度强势的单边推升阶段，技术阻力已非主要矛盾，资金博弈节奏是核心。</w:t>
      </w:r>
    </w:p>
    <w:p>
      <w:pPr>
        <w:pStyle w:val="ListBullet"/>
        <w:spacing w:after="40"/>
      </w:pPr>
      <w:r>
        <w:rPr>
          <w:rFonts w:ascii="微软雅黑" w:hAnsi="微软雅黑" w:eastAsia="微软雅黑"/>
          <w:b/>
          <w:color w:val="D29922"/>
          <w:sz w:val="22"/>
        </w:rPr>
        <w:t>上证指数</w:t>
      </w:r>
      <w:r>
        <w:rPr>
          <w:rFonts w:ascii="微软雅黑" w:hAnsi="微软雅黑" w:eastAsia="微软雅黑"/>
          <w:color w:val="1A1A1A"/>
          <w:sz w:val="22"/>
        </w:rPr>
        <w:t>：成交温和放大，收出小阳线。指数仍处于箱体上沿的蓄力期，表现远落后于成长指数。这种分化意味着沪指当前的参考意义更多在于稳定市场情绪，而非指引交易方向。</w:t>
      </w:r>
    </w:p>
    <w:p>
      <w:pPr>
        <w:pStyle w:val="Heading2"/>
      </w:pPr>
      <w:r>
        <w:rPr>
          <w:rFonts w:ascii="微软雅黑" w:hAnsi="微软雅黑" w:eastAsia="微软雅黑"/>
          <w:color w:val="1A1A1A"/>
          <w:sz w:val="22"/>
        </w:rPr>
        <w:t>量化视角</w:t>
      </w:r>
    </w:p>
    <w:p>
      <w:pPr>
        <w:spacing w:after="120"/>
      </w:pPr>
      <w:r>
        <w:rPr>
          <w:rFonts w:ascii="微软雅黑" w:hAnsi="微软雅黑" w:eastAsia="微软雅黑"/>
          <w:b/>
          <w:color w:val="D29922"/>
          <w:sz w:val="22"/>
        </w:rPr>
        <w:t>资金流向结构分化：</w:t>
      </w:r>
      <w:r>
        <w:rPr>
          <w:rFonts w:ascii="微软雅黑" w:hAnsi="微软雅黑" w:eastAsia="微软雅黑"/>
          <w:color w:val="1A1A1A"/>
          <w:sz w:val="22"/>
        </w:rPr>
        <w:t>日内大单资金大幅净流入，但北向资金逆势净流出，形成“内资买、外资卖”的短期分歧信号。这通常预示着板块将进入高位分化期。</w:t>
      </w:r>
      <w:r>
        <w:rPr>
          <w:rFonts w:ascii="微软雅黑" w:hAnsi="微软雅黑" w:eastAsia="微软雅黑"/>
          <w:b/>
          <w:color w:val="D29922"/>
          <w:sz w:val="22"/>
        </w:rPr>
        <w:t>市场宽度极佳：</w:t>
      </w:r>
      <w:r>
        <w:rPr>
          <w:rFonts w:ascii="微软雅黑" w:hAnsi="微软雅黑" w:eastAsia="微软雅黑"/>
          <w:color w:val="1A1A1A"/>
          <w:sz w:val="22"/>
        </w:rPr>
        <w:t>94.2%的上行比例说明这是一次系统性的流动性注入，而非存量博弈的结构性行情，增量资金入场痕迹明显，为行情的持续性提供了基础。</w:t>
      </w:r>
      <w:r>
        <w:rPr>
          <w:rFonts w:ascii="微软雅黑" w:hAnsi="微软雅黑" w:eastAsia="微软雅黑"/>
          <w:b/>
          <w:color w:val="D29922"/>
          <w:sz w:val="22"/>
        </w:rPr>
        <w:t>量价匹配：</w:t>
      </w:r>
      <w:r>
        <w:rPr>
          <w:rFonts w:ascii="微软雅黑" w:hAnsi="微软雅黑" w:eastAsia="微软雅黑"/>
          <w:color w:val="1A1A1A"/>
          <w:sz w:val="22"/>
        </w:rPr>
        <w:t>高换手（4.3%）配合长阳，量价关系健康。增量资金主攻方向明确（科创板、创业板），形成了清晰的赚钱效应，有望吸引更多右侧资金入场。</w:t>
      </w:r>
    </w:p>
    <w:p>
      <w:pPr>
        <w:pStyle w:val="Heading2"/>
      </w:pPr>
      <w:r>
        <w:rPr>
          <w:rFonts w:ascii="微软雅黑" w:hAnsi="微软雅黑" w:eastAsia="微软雅黑"/>
          <w:color w:val="1A1A1A"/>
          <w:sz w:val="22"/>
        </w:rPr>
        <w:t>宏观背景</w:t>
      </w:r>
    </w:p>
    <w:p>
      <w:pPr>
        <w:spacing w:after="120"/>
      </w:pPr>
      <w:r>
        <w:rPr>
          <w:rFonts w:ascii="微软雅黑" w:hAnsi="微软雅黑" w:eastAsia="微软雅黑"/>
          <w:color w:val="1A1A1A"/>
          <w:sz w:val="22"/>
        </w:rPr>
        <w:t>当前宏观环境为“科技牛”提供了温床。6月CPI同比仅上涨1.0%，核心CPI温和上涨1.2%，通胀压力极小，为央行维持1.4%的低利率逆回购操作和3.5%的5年期LPR提供了政策空间。虽然6月社融增量同比少增，但M2增速仍维持在8.0%的较高水平，广义流动性依然充裕。在实体经济回报率承压的背景下，过剩的流动性更倾向于涌入有政策支持和高景气预期的科技赛道进行资产配置，近期持续活跃的AI、智能汽车等方向正是这一逻辑的体现。</w:t>
      </w:r>
    </w:p>
    <w:p>
      <w:pPr>
        <w:pStyle w:val="Heading2"/>
      </w:pPr>
      <w:r>
        <w:rPr>
          <w:rFonts w:ascii="微软雅黑" w:hAnsi="微软雅黑" w:eastAsia="微软雅黑"/>
          <w:color w:val="1A1A1A"/>
          <w:sz w:val="22"/>
        </w:rPr>
        <w:t>风险提示</w:t>
      </w:r>
    </w:p>
    <w:p>
      <w:pPr>
        <w:pStyle w:val="ListBullet"/>
        <w:spacing w:after="40"/>
      </w:pPr>
      <w:r>
        <w:rPr>
          <w:rFonts w:ascii="微软雅黑" w:hAnsi="微软雅黑" w:eastAsia="微软雅黑"/>
          <w:b/>
          <w:color w:val="D29922"/>
          <w:sz w:val="22"/>
        </w:rPr>
        <w:t>短期过热风险：</w:t>
      </w:r>
      <w:r>
        <w:rPr>
          <w:rFonts w:ascii="微软雅黑" w:hAnsi="微软雅黑" w:eastAsia="微软雅黑"/>
          <w:color w:val="1A1A1A"/>
          <w:sz w:val="22"/>
        </w:rPr>
        <w:t>涨跌比创近期新高，情绪指标触顶，次日面临巨大的个股分化与获利回吐压力。高位追涨盈亏比显著下降。</w:t>
      </w:r>
    </w:p>
    <w:p>
      <w:pPr>
        <w:pStyle w:val="ListBullet"/>
        <w:spacing w:after="40"/>
      </w:pPr>
      <w:r>
        <w:rPr>
          <w:rFonts w:ascii="微软雅黑" w:hAnsi="微软雅黑" w:eastAsia="微软雅黑"/>
          <w:b/>
          <w:color w:val="D29922"/>
          <w:sz w:val="22"/>
        </w:rPr>
        <w:t>内外资分歧：</w:t>
      </w:r>
      <w:r>
        <w:rPr>
          <w:rFonts w:ascii="微软雅黑" w:hAnsi="微软雅黑" w:eastAsia="微软雅黑"/>
          <w:color w:val="1A1A1A"/>
          <w:sz w:val="22"/>
        </w:rPr>
        <w:t>北向资金的连续净流出是当前最需警惕的风险。若此现象加剧，将对市场情绪产生实质冲击。</w:t>
      </w:r>
    </w:p>
    <w:p>
      <w:pPr>
        <w:pStyle w:val="ListBullet"/>
        <w:spacing w:after="40"/>
      </w:pPr>
      <w:r>
        <w:rPr>
          <w:rFonts w:ascii="微软雅黑" w:hAnsi="微软雅黑" w:eastAsia="微软雅黑"/>
          <w:b/>
          <w:color w:val="D29922"/>
          <w:sz w:val="22"/>
        </w:rPr>
        <w:t>业绩披露期扰动：</w:t>
      </w:r>
      <w:r>
        <w:rPr>
          <w:rFonts w:ascii="微软雅黑" w:hAnsi="微软雅黑" w:eastAsia="微软雅黑"/>
          <w:color w:val="1A1A1A"/>
          <w:sz w:val="22"/>
        </w:rPr>
        <w:t>正值中报业绩预告窗口期，部分跟风炒作且缺乏基本面支撑的科技概念股，可能随时面临业绩不达预期的“暴雷”风险。</w:t>
      </w:r>
    </w:p>
    <w:p/>
    <w:p>
      <w:r>
        <w:rPr>
          <w:color w:val="8B949E"/>
          <w:sz w:val="16"/>
        </w:rPr>
        <w:t>⚠️ 免责声明：本报告由 AI 自动生成，仅供参考，不构成任何投资建议。投资有风险，入市需谨慎。报告中的数据来源于公开接口，不对其准确性做任何保证。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