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3939.79</w:t>
            </w:r>
          </w:p>
        </w:tc>
        <w:tc>
          <w:tcPr>
            <w:tcW w:type="dxa" w:w="2160"/>
          </w:tcPr>
          <w:p>
            <w:r>
              <w:t>-1.01%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13611.30</w:t>
            </w:r>
          </w:p>
        </w:tc>
        <w:tc>
          <w:tcPr>
            <w:tcW w:type="dxa" w:w="2160"/>
          </w:tcPr>
          <w:p>
            <w:r>
              <w:t>-1.88%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3313.50</w:t>
            </w:r>
          </w:p>
        </w:tc>
        <w:tc>
          <w:tcPr>
            <w:tcW w:type="dxa" w:w="2160"/>
          </w:tcPr>
          <w:p>
            <w:r>
              <w:t>-2.36%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1616.93</w:t>
            </w:r>
          </w:p>
        </w:tc>
        <w:tc>
          <w:tcPr>
            <w:tcW w:type="dxa" w:w="2160"/>
          </w:tcPr>
          <w:p>
            <w:r>
              <w:t>-1.86%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4546.61</w:t>
            </w:r>
          </w:p>
        </w:tc>
        <w:tc>
          <w:tcPr>
            <w:tcW w:type="dxa" w:w="2160"/>
          </w:tcPr>
          <w:p>
            <w:r>
              <w:t>-1.41%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7729.07</w:t>
            </w:r>
          </w:p>
        </w:tc>
        <w:tc>
          <w:tcPr>
            <w:tcW w:type="dxa" w:w="2160"/>
          </w:tcPr>
          <w:p>
            <w:r>
              <w:t>-1.65%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38.2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23.3 亿  |  大单净 25.37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全线走弱，上证指数收跌1.01%报3939.79点，深证成指跌1.88%，创业板指重挫2.36%，科创50跌1.86%。两市成交额约1.77万亿元，较前一交易日继续放量，呈现放量下跌格局。市场赚钱效应极差，上涨家数仅284家，占比28.4%，涨停仅4家，跌停2家，情绪面接近冰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涨跌分布</w:t>
      </w:r>
      <w:r>
        <w:rPr>
          <w:rFonts w:ascii="微软雅黑" w:hAnsi="微软雅黑" w:eastAsia="微软雅黑"/>
          <w:color w:val="1A1A1A"/>
          <w:sz w:val="22"/>
        </w:rPr>
        <w:t>：上涨284家 / 下跌691家 / 平盘25家，涨跌比仅0.41，普跌格局明确。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：两市合计17720亿元，上证8267亿元、深证9452亿元，成交额维持高位但放量下跌，抛压显著。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平均换手率</w:t>
      </w:r>
      <w:r>
        <w:rPr>
          <w:rFonts w:ascii="微软雅黑" w:hAnsi="微软雅黑" w:eastAsia="微软雅黑"/>
          <w:color w:val="1A1A1A"/>
          <w:sz w:val="22"/>
        </w:rPr>
        <w:t>：3.82%，中位数成交额9260万元，个股流动性尚可但未能形成有效承接。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资金今日净买入38.21亿元（大幅净流入），沪市南向净流入49.18亿、深市南向净流出10.97亿。外部联动方面，恒生科技跌0.71%，恒生指数跌0.32%，离岸人民币贬值0.04%至6.7251。南向大幅净流入+外部联动偏空，指向内外资同步偏弱，A股情绪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大单资金流向</w:t>
      </w:r>
      <w:r>
        <w:rPr>
          <w:rFonts w:ascii="微软雅黑" w:hAnsi="微软雅黑" w:eastAsia="微软雅黑"/>
          <w:color w:val="1A1A1A"/>
          <w:sz w:val="22"/>
        </w:rPr>
        <w:t>：监控的30只样本股中，大单净流入25.37亿元，但上涨家数占比仅28.4%，资金集中流入个别标的，未能形成系统性做多。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领涨板块：</w:t>
      </w:r>
      <w:r>
        <w:rPr>
          <w:rFonts w:ascii="微软雅黑" w:hAnsi="微软雅黑" w:eastAsia="微软雅黑"/>
          <w:color w:val="1A1A1A"/>
          <w:sz w:val="22"/>
        </w:rPr>
        <w:t>国防军工、化妆品、玻纤制造、视频媒体等逆势走强。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地面兵装/国防军工</w:t>
      </w:r>
      <w:r>
        <w:rPr>
          <w:rFonts w:ascii="微软雅黑" w:hAnsi="微软雅黑" w:eastAsia="微软雅黑"/>
          <w:color w:val="1A1A1A"/>
          <w:sz w:val="22"/>
        </w:rPr>
        <w:t>（+5.89%/+1.28%）：内蒙一机、长城军工、建设工业等多股涨停，地缘政治背景叠加军工国企改革预期，板块获得资金避险式追逐。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化妆品制造</w:t>
      </w:r>
      <w:r>
        <w:rPr>
          <w:rFonts w:ascii="微软雅黑" w:hAnsi="微软雅黑" w:eastAsia="微软雅黑"/>
          <w:color w:val="1A1A1A"/>
          <w:sz w:val="22"/>
        </w:rPr>
        <w:t>（+5.29%）：维琪科技大涨29.99%引领，美容护理方向持续活跃，北交所个股弹性放大。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玻纤制造</w:t>
      </w:r>
      <w:r>
        <w:rPr>
          <w:rFonts w:ascii="微软雅黑" w:hAnsi="微软雅黑" w:eastAsia="微软雅黑"/>
          <w:color w:val="1A1A1A"/>
          <w:sz w:val="22"/>
        </w:rPr>
        <w:t>（+2.43%）：山东玻纤涨停，地产链竣工端及风电需求预期改善，带动玻璃玻纤品种反弹。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视频媒体/品牌消费电子</w:t>
      </w:r>
      <w:r>
        <w:rPr>
          <w:rFonts w:ascii="微软雅黑" w:hAnsi="微软雅黑" w:eastAsia="微软雅黑"/>
          <w:color w:val="1A1A1A"/>
          <w:sz w:val="22"/>
        </w:rPr>
        <w:t>（+2.31%/+2.21%）：芒果超媒、奥尼电子领涨，传媒与AI硬件细分方向出现独立行情。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杀跌板块：</w:t>
      </w:r>
      <w:r>
        <w:rPr>
          <w:rFonts w:ascii="微软雅黑" w:hAnsi="微软雅黑" w:eastAsia="微软雅黑"/>
          <w:color w:val="1A1A1A"/>
          <w:sz w:val="22"/>
        </w:rPr>
        <w:t>农业种业、部分化工及医药方向重挫。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种业</w:t>
      </w:r>
      <w:r>
        <w:rPr>
          <w:rFonts w:ascii="微软雅黑" w:hAnsi="微软雅黑" w:eastAsia="微软雅黑"/>
          <w:color w:val="1A1A1A"/>
          <w:sz w:val="22"/>
        </w:rPr>
        <w:t>：神农种业跌11.39%、敦煌种业跌9.98%、农发种业跌9.11%、苏垦农发跌9.01%，秋乐种业跌9.74%。种业板块遭遇集体跌停潮或接近跌停，或因前期涨幅过大叠加政策预期兑现，资金集中获利了结。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化工/钛白粉</w:t>
      </w:r>
      <w:r>
        <w:rPr>
          <w:rFonts w:ascii="微软雅黑" w:hAnsi="微软雅黑" w:eastAsia="微软雅黑"/>
          <w:color w:val="1A1A1A"/>
          <w:sz w:val="22"/>
        </w:rPr>
        <w:t>：金浦钛业跌10.13%，红四方跌10.00%，化工景气度回落压制股价。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食品/医药</w:t>
      </w:r>
      <w:r>
        <w:rPr>
          <w:rFonts w:ascii="微软雅黑" w:hAnsi="微软雅黑" w:eastAsia="微软雅黑"/>
          <w:color w:val="1A1A1A"/>
          <w:sz w:val="22"/>
        </w:rPr>
        <w:t>：一鸣食品跌10.01%、神奇制药跌10.04%、冀衡医药跌10.02%，消费与医药部分高位股补跌。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四、指数技术信号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：收于3939.79点，放量跌破短期均线，MACD红柱缩短，KDJ高位死叉，RSI回落至中性偏弱区间。短期支撑关注3900点整数关口，若失守或下探3850-3880区域。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：跌幅1.88%，日线两连阴，5日均线拐头向下，量能放大显示抛压未释放完毕，下方关注13500点支撑。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：重挫2.36%，收于3313.50点，跌破3300点整数关口附近，技术形态最弱，MACD死叉，RSI进入超卖区，若不能快速收复3300点，或进一步寻底。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：跌1.86%，成交637亿元，科技权重集体走弱，指数重回1600-1620区间下沿，短期支撑看1600点。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：放量下跌，属于典型空头信号。两市成交1.77万亿，较前期缩量普跌不同，这一次是放量出货，尤其创业板放量下跌2.36%，资金离场意愿坚决。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：上涨占比仅28.4%，涨停4家跌停2家（另有大量跌停附近个股），宽度指标进入冰点区域，短线或存在技术性反抽，但趋势未扭转前反抽力度有限。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：南向大幅净流入38.21亿，反映内资在A股赚钱效应极弱背景下转向南下港股寻求机会，A股情绪偏弱。外部联动层面，恒生指数与恒生科技同步收跌，离岸人民币贬值，外资同样保持谨慎，内外资形成共振偏空。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</w:t>
      </w:r>
      <w:r>
        <w:rPr>
          <w:rFonts w:ascii="微软雅黑" w:hAnsi="微软雅黑" w:eastAsia="微软雅黑"/>
          <w:color w:val="1A1A1A"/>
          <w:sz w:val="22"/>
        </w:rPr>
        <w:t>：资金避险式流入军工、化妆品等防御性方向，种业前期强势股集体杀跌，说明存量资金高低切换，短期主线进入退潮期，需等待新热点确认。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通胀数据</w:t>
      </w:r>
      <w:r>
        <w:rPr>
          <w:rFonts w:ascii="微软雅黑" w:hAnsi="微软雅黑" w:eastAsia="微软雅黑"/>
          <w:color w:val="1A1A1A"/>
          <w:sz w:val="22"/>
        </w:rPr>
        <w:t>：7月CPI同比0.5%（前值1.0%），涨幅回落，核心CPI 0.9%；PPI同比3.5%（前值4.1%），两者同向回落，反映内需偏弱、工业品价格上行受阻。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：7月制造业PMI 49.2%，跌破荣枯线且为5个月最低，服务业PMI 49.3%同步回落，经济修复动能不足。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金融数据</w:t>
      </w:r>
      <w:r>
        <w:rPr>
          <w:rFonts w:ascii="微软雅黑" w:hAnsi="微软雅黑" w:eastAsia="微软雅黑"/>
          <w:color w:val="1A1A1A"/>
          <w:sz w:val="22"/>
        </w:rPr>
        <w:t>：6月末M2同比8.0%，M1同比4.0%，社融存量同比7.4%，增量同比少增，宽信用传导不畅，实体经济融资需求疲弱。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政策利率</w:t>
      </w:r>
      <w:r>
        <w:rPr>
          <w:rFonts w:ascii="微软雅黑" w:hAnsi="微软雅黑" w:eastAsia="微软雅黑"/>
          <w:color w:val="1A1A1A"/>
          <w:sz w:val="22"/>
        </w:rPr>
        <w:t>：LPR连续14个月不变（1年期3.0%，5年期3.5%），央行维持稳健中性基调，短期无进一步宽松信号，银行净息差处于历史低位，压缩让利空间。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：美股三大指数隔夜集体下跌，道指跌0.79%、标普跌0.71%、纳指跌1.03%，全球风险偏好收敛，对A股开盘形成压制。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情绪退潮风险</w:t>
      </w:r>
      <w:r>
        <w:rPr>
          <w:rFonts w:ascii="微软雅黑" w:hAnsi="微软雅黑" w:eastAsia="微软雅黑"/>
          <w:color w:val="1A1A1A"/>
          <w:sz w:val="22"/>
        </w:rPr>
        <w:t>：今日种业板块集体重挫，前期热点出现崩塌，高标股亏钱效应显著，若明日不能有效修复，可能引发更多题材股补跌。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技术破位风险</w:t>
      </w:r>
      <w:r>
        <w:rPr>
          <w:rFonts w:ascii="微软雅黑" w:hAnsi="微软雅黑" w:eastAsia="微软雅黑"/>
          <w:color w:val="1A1A1A"/>
          <w:sz w:val="22"/>
        </w:rPr>
        <w:t>：主要指数放量跌破短期均线，若上证指数无法守住3900点，深证成指失守13500点，则不排除进一步下探中期支撑。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外部波动</w:t>
      </w:r>
      <w:r>
        <w:rPr>
          <w:rFonts w:ascii="微软雅黑" w:hAnsi="微软雅黑" w:eastAsia="微软雅黑"/>
          <w:color w:val="1A1A1A"/>
          <w:sz w:val="22"/>
        </w:rPr>
        <w:t>：美股调整、离岸人民币贬值、恒生指数走弱，若外围继续走低，A股难以独善其身。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流动性担忧</w:t>
      </w:r>
      <w:r>
        <w:rPr>
          <w:rFonts w:ascii="微软雅黑" w:hAnsi="微软雅黑" w:eastAsia="微软雅黑"/>
          <w:color w:val="1A1A1A"/>
          <w:sz w:val="22"/>
        </w:rPr>
        <w:t>：今日两市成交虽放大，但更多表现为出货而非增量入场，若量能快速萎缩，市场承接力将进一步下降。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宏观数据不及预期</w:t>
      </w:r>
      <w:r>
        <w:rPr>
          <w:rFonts w:ascii="微软雅黑" w:hAnsi="微软雅黑" w:eastAsia="微软雅黑"/>
          <w:color w:val="1A1A1A"/>
          <w:sz w:val="22"/>
        </w:rPr>
        <w:t>：CPI、PPI、PMI均指向经济修复放缓，后续若政策无超预期对冲，市场风险偏好将持续受压制。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八、明日关注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技术位争夺</w:t>
      </w:r>
      <w:r>
        <w:rPr>
          <w:rFonts w:ascii="微软雅黑" w:hAnsi="微软雅黑" w:eastAsia="微软雅黑"/>
          <w:color w:val="1A1A1A"/>
          <w:sz w:val="22"/>
        </w:rPr>
        <w:t>：上证3900点、创业板3300点、科创50 1600点，关键支撑得失决定短期方向。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军工板块持续性</w:t>
      </w:r>
      <w:r>
        <w:rPr>
          <w:rFonts w:ascii="微软雅黑" w:hAnsi="微软雅黑" w:eastAsia="微软雅黑"/>
          <w:color w:val="1A1A1A"/>
          <w:sz w:val="22"/>
        </w:rPr>
        <w:t>：今日逆势大涨的军工、化妆品等方向，若明日能扛住分歧继续走强，则有望成为新主线；若高开低走则需警惕一日游。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种业板块止跌信号</w:t>
      </w:r>
      <w:r>
        <w:rPr>
          <w:rFonts w:ascii="微软雅黑" w:hAnsi="微软雅黑" w:eastAsia="微软雅黑"/>
          <w:color w:val="1A1A1A"/>
          <w:sz w:val="22"/>
        </w:rPr>
        <w:t>：种业股重挫后，明日若继续跌停潮，则市场情绪将进一步恶化；若出现承接企稳，则情绪有望修复。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地产链扰动</w:t>
      </w:r>
      <w:r>
        <w:rPr>
          <w:rFonts w:ascii="微软雅黑" w:hAnsi="微软雅黑" w:eastAsia="微软雅黑"/>
          <w:color w:val="1A1A1A"/>
          <w:sz w:val="22"/>
        </w:rPr>
        <w:t>：龙虎榜显示我爱我家换手率达20%、深物业A跌超8%，地产股内部分化，关注政策预期变化。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量能变化</w:t>
      </w:r>
      <w:r>
        <w:rPr>
          <w:rFonts w:ascii="微软雅黑" w:hAnsi="微软雅黑" w:eastAsia="微软雅黑"/>
          <w:color w:val="1A1A1A"/>
          <w:sz w:val="22"/>
        </w:rPr>
        <w:t>：若明日缩量企稳，则为抛压衰竭信号；若继续放量下杀，则需防范系统性调整。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