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2026-08-24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3881.40</w:t>
            </w:r>
          </w:p>
        </w:tc>
        <w:tc>
          <w:tcPr>
            <w:tcW w:type="dxa" w:w="2160"/>
          </w:tcPr>
          <w:p>
            <w:r>
              <w:t>-0.61%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13797.45</w:t>
            </w:r>
          </w:p>
        </w:tc>
        <w:tc>
          <w:tcPr>
            <w:tcW w:type="dxa" w:w="2160"/>
          </w:tcPr>
          <w:p>
            <w:r>
              <w:t>-2.11%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3434.11</w:t>
            </w:r>
          </w:p>
        </w:tc>
        <w:tc>
          <w:tcPr>
            <w:tcW w:type="dxa" w:w="2160"/>
          </w:tcPr>
          <w:p>
            <w:r>
              <w:t>-3.14%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1602.45</w:t>
            </w:r>
          </w:p>
        </w:tc>
        <w:tc>
          <w:tcPr>
            <w:tcW w:type="dxa" w:w="2160"/>
          </w:tcPr>
          <w:p>
            <w:r>
              <w:t>-3.09%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4562.98</w:t>
            </w:r>
          </w:p>
        </w:tc>
        <w:tc>
          <w:tcPr>
            <w:tcW w:type="dxa" w:w="2160"/>
          </w:tcPr>
          <w:p>
            <w:r>
              <w:t>-1.21%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7716.21</w:t>
            </w:r>
          </w:p>
        </w:tc>
        <w:tc>
          <w:tcPr>
            <w:tcW w:type="dxa" w:w="2160"/>
          </w:tcPr>
          <w:p>
            <w:r>
              <w:t>-1.76%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59.5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-2.59 亿  |  大单净 -2.64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A股呈现典型的高位放量分化格局：上证仅跌0.61%、银行保险护盘，而科创50与创业板重挫逾3%，成长股遭系统性抛售。全市场下跌793家、上涨198家，市场宽度逼近极端弱势。尾盘时段低位承接力量有限，跌势减弱但未构成反转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14:02后成交额井喷20.1%至19900亿，但资金涌入防御板块而非抄底成长股——高位分歧剧烈，进攻方向选择偏保守。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指数涨跌</w:t>
      </w:r>
      <w:r>
        <w:rPr>
          <w:rFonts w:ascii="微软雅黑" w:hAnsi="微软雅黑" w:eastAsia="微软雅黑"/>
          <w:color w:val="1A1A1A"/>
          <w:sz w:val="22"/>
        </w:rPr>
        <w:t>：上证 -0.61%（较上一时段 +0.58pp，跌势减弱）；创业板指 -3.14%（较上一时段 +1.44pp，跌势减弱）。沪深300 -1.21%（+0.68pp），中证500 -1.76%（+1.08pp）。各指数尾盘跌幅同步收窄，但绝对跌幅仍深。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：19900亿，较上一时段+20.1%（放量）。14:02后的成交约占全日两成，属于尾段集中换手。结合指数跌幅收窄来看，低位分歧加大，但未形成有效买盘反攻。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：上涨198家 / 下跌793家，涨跌比1:4.0，上涨比例仅19.8%，跌停10家、涨停仅7家。这是非常弱的日内宽度，资金明显偏向少数防御权重。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：南向资金净买入</w:t>
      </w:r>
      <w:r>
        <w:rPr>
          <w:rFonts w:ascii="微软雅黑" w:hAnsi="微软雅黑" w:eastAsia="微软雅黑"/>
          <w:b/>
          <w:color w:val="D29922"/>
          <w:sz w:val="22"/>
        </w:rPr>
        <w:t>+59.5亿</w:t>
      </w:r>
      <w:r>
        <w:rPr>
          <w:rFonts w:ascii="微软雅黑" w:hAnsi="微软雅黑" w:eastAsia="微软雅黑"/>
          <w:color w:val="1A1A1A"/>
          <w:sz w:val="22"/>
        </w:rPr>
        <w:t>（沪+60.75亿、深-1.25亿），为大幅净流入，方向看空A股情绪。外部联动：恒生指数 -1.78%、恒生科技 -3.39%、离岸人民币 +0.05%（贬值）——三者同向偏空，共识分-6.0。外资方向推断：</w:t>
      </w:r>
      <w:r>
        <w:rPr>
          <w:rFonts w:ascii="微软雅黑" w:hAnsi="微软雅黑" w:eastAsia="微软雅黑"/>
          <w:b/>
          <w:color w:val="D29922"/>
          <w:sz w:val="22"/>
        </w:rPr>
        <w:t>内资南下、港股大跌、CNH贬值，内外资同步偏空，信号一致性高。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本时段核心变化是：领涨板块从成长切换到贵金属+煤炭+银行防御阵营，轮动速度极快，追高风险大。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：白银 +7.44%、其他养殖 +6.14%、贵金属 +4.44%、种子 +4.05%、焦炭 +3.73%、黄金 +3.44%。驱动逻辑：伦敦金+0.99%至4650美元/盎司创阶段新高，COMEX黄金站上4708美元，金价上行直接点燃白银/贵金属/黄金板块。种子粮食板块受关税/粮食供应预期扰动，属于事件驱动类型。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异动</w:t>
      </w:r>
      <w:r>
        <w:rPr>
          <w:rFonts w:ascii="微软雅黑" w:hAnsi="微软雅黑" w:eastAsia="微软雅黑"/>
          <w:color w:val="1A1A1A"/>
          <w:sz w:val="22"/>
        </w:rPr>
        <w:t>：国际工程 +3.48%（北方国际涨停），与“一带一路”持续催化有关，但需警惕政策事件落地后的回落。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大金融异动</w:t>
      </w:r>
      <w:r>
        <w:rPr>
          <w:rFonts w:ascii="微软雅黑" w:hAnsi="微软雅黑" w:eastAsia="微软雅黑"/>
          <w:color w:val="1A1A1A"/>
          <w:sz w:val="22"/>
        </w:rPr>
        <w:t>：银行+1.33%、保险+1.76%，国有大型银行逆势走强。这类板块拉涨有助于稳定上证指数，但无法驱动市场赚钱效应。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：以创业板、科创50为载体的高估值成长赛道（医药、半导体、军工等大幅走弱），市场资金挤出效应明显。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本时段核心变化是：跌幅收窄但指数仍收在当日低点附近，MA/MACD状态转弱，高位下跌结构尚未修复。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盘3881.4，今日开盘3902.7，大幅跳空低开后低位震荡，收盘仍贴近盘中低位。较上一时段+0.58pp说明尾盘略有承接，但趋势仍未走出跌势。从目前量价看，高位放量收阴，短期均线面临回踩压力，短期MACD红柱在收缩，趋势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：收盘3434.11，开盘3550.25，实体阴线幅度大。较上一时段+1.44pp，但日内累计-3.14%表明抛压极大。创业板的KDJ/RSI大概率进入弱势区间，需等待超卖信号。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：跌3.09%收1602.45，高波动放大，显示成长股板块仍在消化估值和情绪压力。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综合信号</w:t>
      </w:r>
      <w:r>
        <w:rPr>
          <w:rFonts w:ascii="微软雅黑" w:hAnsi="微软雅黑" w:eastAsia="微软雅黑"/>
          <w:color w:val="1A1A1A"/>
          <w:sz w:val="22"/>
        </w:rPr>
        <w:t>：主要指数“放量下跌+跌幅收窄”，技术上属于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而非趋势反转，若要反转需明日出现缩量企稳或阳线收复早盘缺口。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本时段核心变化是：放量+市场宽度极弱+资金流向防御——量价关系呈“放量阴跌、防御拥挤”，不是健康进攻结构。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资金流（新浪30股样本）</w:t>
      </w:r>
      <w:r>
        <w:rPr>
          <w:rFonts w:ascii="微软雅黑" w:hAnsi="微软雅黑" w:eastAsia="微软雅黑"/>
          <w:color w:val="1A1A1A"/>
          <w:sz w:val="22"/>
        </w:rPr>
        <w:t>：总净额-2.59亿，其中30股中20股净流出、10股流入，大单净额-2.64亿。资金流向明确偏向防御性板块，进攻型个股资金面偏弱。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量价匹配</w:t>
      </w:r>
      <w:r>
        <w:rPr>
          <w:rFonts w:ascii="微软雅黑" w:hAnsi="微软雅黑" w:eastAsia="微软雅黑"/>
          <w:color w:val="1A1A1A"/>
          <w:sz w:val="22"/>
        </w:rPr>
        <w:t>：成交额放量但指数收阴，市场宽度差（19.8%上涨比例），属于放量下跌、资金高位撤离特征。尾盘成交放大没有换来指数翻红，量价背离需重视：量在增、价不涨。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外资方向监测（南向+外部联动）</w:t>
      </w:r>
      <w:r>
        <w:rPr>
          <w:rFonts w:ascii="微软雅黑" w:hAnsi="微软雅黑" w:eastAsia="微软雅黑"/>
          <w:color w:val="1A1A1A"/>
          <w:sz w:val="22"/>
        </w:rPr>
        <w:t>：南向净买入59.5亿（&gt;30亿，A股情绪偏弱信号），叠加恒指/恒生科技下跌、CNH贬值，外资方向偏空。沪深股通不披露，无法确定北向具体净流，但南向+联动给出的信号一致性较强。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本时段核心变化是：宏观层面7月数据偏弱+PPI回落快于预期+LPR观望，基本面不支持当前高位估值快速消化。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</w:t>
      </w:r>
      <w:r>
        <w:rPr>
          <w:rFonts w:ascii="微软雅黑" w:hAnsi="微软雅黑" w:eastAsia="微软雅黑"/>
          <w:color w:val="1A1A1A"/>
          <w:sz w:val="22"/>
        </w:rPr>
        <w:t>：7月CPI同比0.5%（前值1.0%），PPI同比3.5%（前值4.1%），双回落。PPI回落速度较快，上游价格压力减轻，但中下游利润改善弹性受限。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景气度</w:t>
      </w:r>
      <w:r>
        <w:rPr>
          <w:rFonts w:ascii="微软雅黑" w:hAnsi="微软雅黑" w:eastAsia="微软雅黑"/>
          <w:color w:val="1A1A1A"/>
          <w:sz w:val="22"/>
        </w:rPr>
        <w:t>：7月制造业PMI 49.2、服务业PMI 49.3，双双跌破荣枯线，经济动能减弱。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：LPR 1年3.0%、5年3.5%，连续14个月不变；央行7天逆回购利率1.4%，政策利率维持。M2同比8.0%较快，但净息差1.4%处于历史低位，银行扩张信贷能力不足。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政策信号</w:t>
      </w:r>
      <w:r>
        <w:rPr>
          <w:rFonts w:ascii="微软雅黑" w:hAnsi="微软雅黑" w:eastAsia="微软雅黑"/>
          <w:color w:val="1A1A1A"/>
          <w:sz w:val="22"/>
        </w:rPr>
        <w:t>：央行对降息保持谨慎，在PMI跌破50、PPI回落背景下，短期主动宽松预期不足，风险资产估值难获流动性支撑。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市场宽度极端脆弱</w:t>
      </w:r>
      <w:r>
        <w:rPr>
          <w:rFonts w:ascii="微软雅黑" w:hAnsi="微软雅黑" w:eastAsia="微软雅黑"/>
          <w:color w:val="1A1A1A"/>
          <w:sz w:val="22"/>
        </w:rPr>
        <w:t>：上涨比例仅19.8%，跌停10家、涨停仅7家。若明日情绪不能修复，警惕高位权重补跌带动指数进一步回落。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：尾盘放量却未能翻红，为下跌中继信号。明日若继续放量下跌，抛压将主导市场。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外资信号偏空</w:t>
      </w:r>
      <w:r>
        <w:rPr>
          <w:rFonts w:ascii="微软雅黑" w:hAnsi="微软雅黑" w:eastAsia="微软雅黑"/>
          <w:color w:val="1A1A1A"/>
          <w:sz w:val="22"/>
        </w:rPr>
        <w:t>：南向大幅净买入+港股大跌+CNH贬值，内外资同步看空，叠加北向数据缺失不可证实但需高度警惕。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：今日资金集中涌向贵金属、煤炭、银行等板块，热门赛道遭抛售。轮动节奏加快意味着短期操作难度上升，需警惕高位题材股流动性收缩。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宏观下行风险</w:t>
      </w:r>
      <w:r>
        <w:rPr>
          <w:rFonts w:ascii="微软雅黑" w:hAnsi="微软雅黑" w:eastAsia="微软雅黑"/>
          <w:color w:val="1A1A1A"/>
          <w:sz w:val="22"/>
        </w:rPr>
        <w:t>：PMI已陷入收缩区间，PPI回落但LPR未见下调，政策缓冲不足，市场可能遭遇业绩+估值戴维斯双杀。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