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2026-08-28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3959.65</w:t>
            </w:r>
          </w:p>
        </w:tc>
        <w:tc>
          <w:tcPr>
            <w:tcW w:type="dxa" w:w="2160"/>
          </w:tcPr>
          <w:p>
            <w:r>
              <w:t>+0.08%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14028.25</w:t>
            </w:r>
          </w:p>
        </w:tc>
        <w:tc>
          <w:tcPr>
            <w:tcW w:type="dxa" w:w="2160"/>
          </w:tcPr>
          <w:p>
            <w:r>
              <w:t>-0.15%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3461.09</w:t>
            </w:r>
          </w:p>
        </w:tc>
        <w:tc>
          <w:tcPr>
            <w:tcW w:type="dxa" w:w="2160"/>
          </w:tcPr>
          <w:p>
            <w:r>
              <w:t>-0.35%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1681.15</w:t>
            </w:r>
          </w:p>
        </w:tc>
        <w:tc>
          <w:tcPr>
            <w:tcW w:type="dxa" w:w="2160"/>
          </w:tcPr>
          <w:p>
            <w:r>
              <w:t>-0.73%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4625.39</w:t>
            </w:r>
          </w:p>
        </w:tc>
        <w:tc>
          <w:tcPr>
            <w:tcW w:type="dxa" w:w="2160"/>
          </w:tcPr>
          <w:p>
            <w:r>
              <w:t>-0.11%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7930.63</w:t>
            </w:r>
          </w:p>
        </w:tc>
        <w:tc>
          <w:tcPr>
            <w:tcW w:type="dxa" w:w="2160"/>
          </w:tcPr>
          <w:p>
            <w:r>
              <w:t>-0.20%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18.8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-14.01 亿  |  大单净 -15.16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放量滞涨+板块快速轮动，内部分歧显著加大。上证指数微涨+0.08%勉强收红，但深成指（-0.15%）、创业板指（-0.35%）、科创50（-0.73%）均加速走弱，科创50较昨日同期重挫4.18pp，呈现动能衰竭迹象。成交额异常放大至14231亿（较上一时段+36.6%），但指数不涨反跌，量价背离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：上涨507家 / 下跌478家 / 平盘15家，上涨比例50.7%。表面中性，但赚钱效应弱，涨停仅4家、跌停4家，多空力量胶着。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：14231亿（半日），较上一时段+36.6%异常放量，较昨日同期亦处于高位。放量未能推动指数上行，资金分歧剧烈。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：港股通净买入+18.79亿（较上一时段减少4.3亿，较昨日同期+0.7亿）。南向仍为净流入，说明内资持续南下，A股情绪偏弱，但边际买盘减弱，情绪略有好转迹象。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：恒生指数+0.47%、恒生科技+0.54%，离岸人民币微贬+0.03%，外部共识分+3.6，较上一时段明显增强。外部偏多但南向净买入，内外资方向背离，以内盘量价为准。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完全替换：酿酒行业（+0.18%）、飞机制造（+0.19%）、家具行业（+0.19%）接替上一时段的横向通用软件、房产租赁经纪、运动服装。防御性消费（酿酒、家具）与军工（飞机制造）混动，缺乏明确主线。领跌方面，次新股大跌-2.04%，医疗器械、电子器件、电器行业同步走弱。板块快速轮动说明资金短炒特征明显，持续性差，追高风险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低开后微涨，3950附近有支撑，但放量滞涨，上方压力沉重；深成指、创业板指低开后略有回升但仍收阴，短期均线承压。科创50较昨日同期加速下跌4.18pp，已跌破开盘价1684.72，若午后不能收复，则MACD/KDJ高位死叉概率大，技术面进一步转弱。整体量价关系偏空，指数分化加剧，权重护盘难掩小盘成长股走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大单资金监测显示，样本30股主力净流出14.01亿，其中大单净流出15.16亿，流出家数20家明显多于流入10家，资金面偏空。全市场涨跌比50.7%，涨停4家、跌停4家，赚钱效应弱。成交额14231亿对应指数滞涨，量价背离显著。板块轮动过快，市场宽度不足，仅靠权重护盘难以形成趋势性上涨，短线风险大于机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7月CPI同比0.5%（前值1.0%）回落，PPI同比3.5%（前值4.1%）回落，制造业PMI 49.2跌破荣枯线，经济修复动能偏弱。M2同比8.0%，LPR连续14个月不变，流动性中性。宏观面不支持全面牛市，但暂无系统性风险。当前高估值成长股（科创/创业板）明显承压，资金转向低估值消费、军工等防御方向，符合宏观数据特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放量滞涨/下跌</w:t>
      </w:r>
      <w:r>
        <w:rPr>
          <w:rFonts w:ascii="微软雅黑" w:hAnsi="微软雅黑" w:eastAsia="微软雅黑"/>
          <w:color w:val="1A1A1A"/>
          <w:sz w:val="22"/>
        </w:rPr>
        <w:t>：上午成交额异常放大36.6%，但深成指、创业板、科创50加速下行，警惕高位放量派发，尤其权重护盘、小票杀跌的结构性风险。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板块快速轮动无主线</w:t>
      </w:r>
      <w:r>
        <w:rPr>
          <w:rFonts w:ascii="微软雅黑" w:hAnsi="微软雅黑" w:eastAsia="微软雅黑"/>
          <w:color w:val="1A1A1A"/>
          <w:sz w:val="22"/>
        </w:rPr>
        <w:t>：领涨板块完全替换，持续性极差，追涨极易被套，短线操作难度大。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南向资金持续净流入</w:t>
      </w:r>
      <w:r>
        <w:rPr>
          <w:rFonts w:ascii="微软雅黑" w:hAnsi="微软雅黑" w:eastAsia="微软雅黑"/>
          <w:color w:val="1A1A1A"/>
          <w:sz w:val="22"/>
        </w:rPr>
        <w:t>：内资南下抄底港股，A股情绪偏弱。若午后南向净买入进一步扩大，A股可能继续承压。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科创50加速下跌</w:t>
      </w:r>
      <w:r>
        <w:rPr>
          <w:rFonts w:ascii="微软雅黑" w:hAnsi="微软雅黑" w:eastAsia="微软雅黑"/>
          <w:color w:val="1A1A1A"/>
          <w:sz w:val="22"/>
        </w:rPr>
        <w:t>：较昨日同期跌4.18pp，存在踩踏风险，小盘成长股波动加大，需防范连锁反应。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