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股量化报告 — 收盘报告</w:t>
      </w:r>
    </w:p>
    <w:p>
      <w:pPr>
        <w:jc w:val="center"/>
      </w:pPr>
      <w:r>
        <w:rPr>
          <w:color w:val="8B949E"/>
          <w:sz w:val="20"/>
        </w:rPr>
        <w:t>2026-07-31  |  模型: DeepSeek  |  量化交易视角</w:t>
      </w:r>
    </w:p>
    <w:p>
      <w:pPr>
        <w:pStyle w:val="Heading2"/>
      </w:pPr>
      <w:r>
        <w:t>核心指标速览</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指数</w:t>
            </w:r>
          </w:p>
        </w:tc>
        <w:tc>
          <w:tcPr>
            <w:tcW w:type="dxa" w:w="2160"/>
          </w:tcPr>
          <w:p>
            <w:r>
              <w:t>点位</w:t>
            </w:r>
          </w:p>
        </w:tc>
        <w:tc>
          <w:tcPr>
            <w:tcW w:type="dxa" w:w="2160"/>
          </w:tcPr>
          <w:p>
            <w:r>
              <w:t>涨跌幅</w:t>
            </w:r>
          </w:p>
        </w:tc>
        <w:tc>
          <w:tcPr>
            <w:tcW w:type="dxa" w:w="2160"/>
          </w:tcPr>
          <w:p>
            <w:r/>
          </w:p>
        </w:tc>
      </w:tr>
      <w:tr>
        <w:tc>
          <w:tcPr>
            <w:tcW w:type="dxa" w:w="2160"/>
          </w:tcPr>
          <w:p>
            <w:r>
              <w:t>上证指数</w:t>
            </w:r>
          </w:p>
        </w:tc>
        <w:tc>
          <w:tcPr>
            <w:tcW w:type="dxa" w:w="2160"/>
          </w:tcPr>
          <w:p>
            <w:r>
              <w:t>3837.20</w:t>
            </w:r>
          </w:p>
        </w:tc>
        <w:tc>
          <w:tcPr>
            <w:tcW w:type="dxa" w:w="2160"/>
          </w:tcPr>
          <w:p>
            <w:r>
              <w:t>+0.85%</w:t>
            </w:r>
          </w:p>
        </w:tc>
        <w:tc>
          <w:tcPr>
            <w:tcW w:type="dxa" w:w="2160"/>
          </w:tcPr>
          <w:p>
            <w:r/>
          </w:p>
        </w:tc>
      </w:tr>
      <w:tr>
        <w:tc>
          <w:tcPr>
            <w:tcW w:type="dxa" w:w="2160"/>
          </w:tcPr>
          <w:p>
            <w:r>
              <w:t>深证成指</w:t>
            </w:r>
          </w:p>
        </w:tc>
        <w:tc>
          <w:tcPr>
            <w:tcW w:type="dxa" w:w="2160"/>
          </w:tcPr>
          <w:p>
            <w:r>
              <w:t>13742.23</w:t>
            </w:r>
          </w:p>
        </w:tc>
        <w:tc>
          <w:tcPr>
            <w:tcW w:type="dxa" w:w="2160"/>
          </w:tcPr>
          <w:p>
            <w:r>
              <w:t>+3.44%</w:t>
            </w:r>
          </w:p>
        </w:tc>
        <w:tc>
          <w:tcPr>
            <w:tcW w:type="dxa" w:w="2160"/>
          </w:tcPr>
          <w:p>
            <w:r/>
          </w:p>
        </w:tc>
      </w:tr>
      <w:tr>
        <w:tc>
          <w:tcPr>
            <w:tcW w:type="dxa" w:w="2160"/>
          </w:tcPr>
          <w:p>
            <w:r>
              <w:t>创业板指</w:t>
            </w:r>
          </w:p>
        </w:tc>
        <w:tc>
          <w:tcPr>
            <w:tcW w:type="dxa" w:w="2160"/>
          </w:tcPr>
          <w:p>
            <w:r>
              <w:t>3417.62</w:t>
            </w:r>
          </w:p>
        </w:tc>
        <w:tc>
          <w:tcPr>
            <w:tcW w:type="dxa" w:w="2160"/>
          </w:tcPr>
          <w:p>
            <w:r>
              <w:t>+5.33%</w:t>
            </w:r>
          </w:p>
        </w:tc>
        <w:tc>
          <w:tcPr>
            <w:tcW w:type="dxa" w:w="2160"/>
          </w:tcPr>
          <w:p>
            <w:r/>
          </w:p>
        </w:tc>
      </w:tr>
      <w:tr>
        <w:tc>
          <w:tcPr>
            <w:tcW w:type="dxa" w:w="2160"/>
          </w:tcPr>
          <w:p>
            <w:r>
              <w:t>科创50</w:t>
            </w:r>
          </w:p>
        </w:tc>
        <w:tc>
          <w:tcPr>
            <w:tcW w:type="dxa" w:w="2160"/>
          </w:tcPr>
          <w:p>
            <w:r>
              <w:t>1690.71</w:t>
            </w:r>
          </w:p>
        </w:tc>
        <w:tc>
          <w:tcPr>
            <w:tcW w:type="dxa" w:w="2160"/>
          </w:tcPr>
          <w:p>
            <w:r>
              <w:t>+6.44%</w:t>
            </w:r>
          </w:p>
        </w:tc>
        <w:tc>
          <w:tcPr>
            <w:tcW w:type="dxa" w:w="2160"/>
          </w:tcPr>
          <w:p>
            <w:r/>
          </w:p>
        </w:tc>
      </w:tr>
      <w:tr>
        <w:tc>
          <w:tcPr>
            <w:tcW w:type="dxa" w:w="2160"/>
          </w:tcPr>
          <w:p>
            <w:r>
              <w:t>沪深300</w:t>
            </w:r>
          </w:p>
        </w:tc>
        <w:tc>
          <w:tcPr>
            <w:tcW w:type="dxa" w:w="2160"/>
          </w:tcPr>
          <w:p>
            <w:r>
              <w:t>4614.83</w:t>
            </w:r>
          </w:p>
        </w:tc>
        <w:tc>
          <w:tcPr>
            <w:tcW w:type="dxa" w:w="2160"/>
          </w:tcPr>
          <w:p>
            <w:r>
              <w:t>+1.43%</w:t>
            </w:r>
          </w:p>
        </w:tc>
        <w:tc>
          <w:tcPr>
            <w:tcW w:type="dxa" w:w="2160"/>
          </w:tcPr>
          <w:p>
            <w:r/>
          </w:p>
        </w:tc>
      </w:tr>
      <w:tr>
        <w:tc>
          <w:tcPr>
            <w:tcW w:type="dxa" w:w="2160"/>
          </w:tcPr>
          <w:p>
            <w:r>
              <w:t>中证500</w:t>
            </w:r>
          </w:p>
        </w:tc>
        <w:tc>
          <w:tcPr>
            <w:tcW w:type="dxa" w:w="2160"/>
          </w:tcPr>
          <w:p>
            <w:r>
              <w:t>7580.23</w:t>
            </w:r>
          </w:p>
        </w:tc>
        <w:tc>
          <w:tcPr>
            <w:tcW w:type="dxa" w:w="2160"/>
          </w:tcPr>
          <w:p>
            <w:r>
              <w:t>+3.70%</w:t>
            </w:r>
          </w:p>
        </w:tc>
        <w:tc>
          <w:tcPr>
            <w:tcW w:type="dxa" w:w="2160"/>
          </w:tcPr>
          <w:p>
            <w:r/>
          </w:p>
        </w:tc>
      </w:tr>
    </w:tbl>
    <w:p/>
    <w:p>
      <w:r>
        <w:rPr>
          <w:b/>
        </w:rPr>
        <w:t>北向资金：净流出 30.68 亿</w:t>
      </w:r>
      <w:r>
        <w:t xml:space="preserve">  |  沪股通 -9.28 亿  |  数据源: hexin</w:t>
      </w:r>
    </w:p>
    <w:p>
      <w:r>
        <w:rPr>
          <w:b/>
        </w:rPr>
        <w:t>大资金方向（替代两融）：</w:t>
      </w:r>
      <w:r>
        <w:t>30 股聚合净流入 109.82 亿  |  大单净 110.09 亿  |  涨家 25 / 跌家 5</w:t>
      </w:r>
      <w:r>
        <w:rPr>
          <w:color w:val="8B949E"/>
          <w:sz w:val="18"/>
        </w:rPr>
        <w:br/>
        <w:t>注：数据来自新浪资金流（大单/特大单估算），非融资融券官方数据，仅供参考大资金方向</w:t>
      </w:r>
    </w:p>
    <w:p>
      <w:r>
        <w:rPr>
          <w:b/>
        </w:rPr>
        <w:t>宏观数据：</w:t>
      </w:r>
      <w:r>
        <w:t>CPI 1.0%  |  PPI 4.1%  |  PMI 50.3  |  M2 8.0%  |  LPR 1Y 3.0%</w:t>
      </w:r>
    </w:p>
    <w:p/>
    <w:p>
      <w:pPr>
        <w:pStyle w:val="Heading2"/>
      </w:pPr>
      <w:r>
        <w:t>量化分析</w:t>
      </w:r>
    </w:p>
    <w:p>
      <w:pPr>
        <w:pStyle w:val="Heading2"/>
      </w:pPr>
      <w:r>
        <w:rPr>
          <w:rFonts w:ascii="微软雅黑" w:hAnsi="微软雅黑" w:eastAsia="微软雅黑"/>
          <w:color w:val="1A1A1A"/>
          <w:sz w:val="22"/>
        </w:rPr>
        <w:t>📊 全日综述</w:t>
      </w:r>
    </w:p>
    <w:p>
      <w:pPr>
        <w:spacing w:after="120"/>
      </w:pPr>
      <w:r>
        <w:rPr>
          <w:rFonts w:ascii="微软雅黑" w:hAnsi="微软雅黑" w:eastAsia="微软雅黑"/>
          <w:color w:val="1A1A1A"/>
          <w:sz w:val="22"/>
        </w:rPr>
        <w:t>今日市场呈现"情绪与资金背离"的强势普涨格局。指数层面，双创板块爆发式领涨，科创50飙升6.44%，创业板指大涨5.33%，成长风格碾压价值风格。微观结构看，涨停家数高达124家，无跌停，赚钱效应极致化，但北向资金逆势净流出30.68亿，显示内资是本轮行情的主导力量。这是一场由内资主导的，围绕"超跌反弹与国产替代"逻辑展开的修复战役。</w:t>
      </w:r>
    </w:p>
    <w:p>
      <w:pPr>
        <w:pStyle w:val="Heading2"/>
      </w:pPr>
      <w:r>
        <w:rPr>
          <w:rFonts w:ascii="微软雅黑" w:hAnsi="微软雅黑" w:eastAsia="微软雅黑"/>
          <w:color w:val="1A1A1A"/>
          <w:sz w:val="22"/>
        </w:rPr>
        <w:t>📈 核心指数与量价分析</w:t>
      </w:r>
    </w:p>
    <w:p>
      <w:pPr>
        <w:pStyle w:val="ListBullet"/>
        <w:spacing w:after="40"/>
      </w:pPr>
      <w:r>
        <w:rPr>
          <w:rFonts w:ascii="微软雅黑" w:hAnsi="微软雅黑" w:eastAsia="微软雅黑"/>
          <w:b/>
          <w:color w:val="D29922"/>
          <w:sz w:val="22"/>
        </w:rPr>
        <w:t>科创50（+6.44%）：</w:t>
      </w:r>
      <w:r>
        <w:rPr>
          <w:rFonts w:ascii="微软雅黑" w:hAnsi="微软雅黑" w:eastAsia="微软雅黑"/>
          <w:color w:val="1A1A1A"/>
          <w:sz w:val="22"/>
        </w:rPr>
        <w:t>放量巨阳，单日涨幅与成交量均创近期峰值。作为硬科技核心载体，其突破性走势确立了科技主线的绝对地位，量价高度匹配，未见衰竭信号。</w:t>
      </w:r>
    </w:p>
    <w:p>
      <w:pPr>
        <w:pStyle w:val="ListBullet"/>
        <w:spacing w:after="40"/>
      </w:pPr>
      <w:r>
        <w:rPr>
          <w:rFonts w:ascii="微软雅黑" w:hAnsi="微软雅黑" w:eastAsia="微软雅黑"/>
          <w:b/>
          <w:color w:val="D29922"/>
          <w:sz w:val="22"/>
        </w:rPr>
        <w:t>创业板指（+5.33%）：</w:t>
      </w:r>
      <w:r>
        <w:rPr>
          <w:rFonts w:ascii="微软雅黑" w:hAnsi="微软雅黑" w:eastAsia="微软雅黑"/>
          <w:color w:val="1A1A1A"/>
          <w:sz w:val="22"/>
        </w:rPr>
        <w:t>同样放大量能强势突破，与科创50形成共振。主要受第一大权重宁德时代及医药科技等赛道股反弹推动，成功摆脱近期盘整区间。</w:t>
      </w:r>
    </w:p>
    <w:p>
      <w:pPr>
        <w:pStyle w:val="ListBullet"/>
        <w:spacing w:after="40"/>
      </w:pPr>
      <w:r>
        <w:rPr>
          <w:rFonts w:ascii="微软雅黑" w:hAnsi="微软雅黑" w:eastAsia="微软雅黑"/>
          <w:b/>
          <w:color w:val="D29922"/>
          <w:sz w:val="22"/>
        </w:rPr>
        <w:t>中证500（+3.70%）/深证成指（+3.44%）：</w:t>
      </w:r>
      <w:r>
        <w:rPr>
          <w:rFonts w:ascii="微软雅黑" w:hAnsi="微软雅黑" w:eastAsia="微软雅黑"/>
          <w:color w:val="1A1A1A"/>
          <w:sz w:val="22"/>
        </w:rPr>
        <w:t>涨幅居中，跟随双创步伐。各类中小盘成长股普涨，市场宽度极佳。</w:t>
      </w:r>
    </w:p>
    <w:p>
      <w:pPr>
        <w:pStyle w:val="ListBullet"/>
        <w:spacing w:after="40"/>
      </w:pPr>
      <w:r>
        <w:rPr>
          <w:rFonts w:ascii="微软雅黑" w:hAnsi="微软雅黑" w:eastAsia="微软雅黑"/>
          <w:b/>
          <w:color w:val="D29922"/>
          <w:sz w:val="22"/>
        </w:rPr>
        <w:t>沪深300（+1.43%）/上证指数（+0.85%）：</w:t>
      </w:r>
      <w:r>
        <w:rPr>
          <w:rFonts w:ascii="微软雅黑" w:hAnsi="微软雅黑" w:eastAsia="微软雅黑"/>
          <w:color w:val="1A1A1A"/>
          <w:sz w:val="22"/>
        </w:rPr>
        <w:t>涨幅垫底，明显受银行、食品饮料等传统权重拖累，反映出市场资金从大盘价值向中小盘成长快速切换。</w:t>
      </w:r>
    </w:p>
    <w:p>
      <w:pPr>
        <w:spacing w:after="120"/>
      </w:pPr>
      <w:r>
        <w:rPr>
          <w:rFonts w:ascii="微软雅黑" w:hAnsi="微软雅黑" w:eastAsia="微软雅黑"/>
          <w:b/>
          <w:color w:val="D29922"/>
          <w:sz w:val="22"/>
        </w:rPr>
        <w:t>量价匹配度：</w:t>
      </w:r>
      <w:r>
        <w:rPr>
          <w:rFonts w:ascii="微软雅黑" w:hAnsi="微软雅黑" w:eastAsia="微软雅黑"/>
          <w:color w:val="1A1A1A"/>
          <w:sz w:val="22"/>
        </w:rPr>
        <w:t>全市场逾93%个股上涨，成交额预估超过7400亿，属于高质量的放量普涨，量能支撑强劲，未出现指数上行而量能背离的隐患。</w:t>
      </w:r>
    </w:p>
    <w:p>
      <w:pPr>
        <w:pStyle w:val="Heading2"/>
      </w:pPr>
      <w:r>
        <w:rPr>
          <w:rFonts w:ascii="微软雅黑" w:hAnsi="微软雅黑" w:eastAsia="微软雅黑"/>
          <w:color w:val="1A1A1A"/>
          <w:sz w:val="22"/>
        </w:rPr>
        <w:t>🧬 板块轮动：成长狂欢，周期承压</w:t>
      </w:r>
    </w:p>
    <w:p>
      <w:pPr>
        <w:spacing w:after="120"/>
      </w:pPr>
      <w:r>
        <w:rPr>
          <w:rFonts w:ascii="微软雅黑" w:hAnsi="微软雅黑" w:eastAsia="微软雅黑"/>
          <w:color w:val="1A1A1A"/>
          <w:sz w:val="22"/>
        </w:rPr>
        <w:t>市场呈现清晰的"新经济升、老经济降"结构。</w:t>
      </w:r>
    </w:p>
    <w:p>
      <w:pPr>
        <w:pStyle w:val="ListBullet"/>
        <w:spacing w:after="40"/>
      </w:pPr>
      <w:r>
        <w:rPr>
          <w:rFonts w:ascii="微软雅黑" w:hAnsi="微软雅黑" w:eastAsia="微软雅黑"/>
          <w:b/>
          <w:color w:val="D29922"/>
          <w:sz w:val="22"/>
        </w:rPr>
        <w:t>领涨主线：</w:t>
      </w:r>
      <w:r>
        <w:rPr>
          <w:rFonts w:ascii="微软雅黑" w:hAnsi="微软雅黑" w:eastAsia="微软雅黑"/>
          <w:b/>
          <w:color w:val="D29922"/>
          <w:sz w:val="22"/>
        </w:rPr>
        <w:t>次新股（+4.87%）</w:t>
      </w:r>
      <w:r>
        <w:rPr>
          <w:rFonts w:ascii="微软雅黑" w:hAnsi="微软雅黑" w:eastAsia="微软雅黑"/>
          <w:color w:val="1A1A1A"/>
          <w:sz w:val="22"/>
        </w:rPr>
        <w:t>成为最强板块，紧随其后的是</w:t>
      </w:r>
      <w:r>
        <w:rPr>
          <w:rFonts w:ascii="微软雅黑" w:hAnsi="微软雅黑" w:eastAsia="微软雅黑"/>
          <w:b/>
          <w:color w:val="D29922"/>
          <w:sz w:val="22"/>
        </w:rPr>
        <w:t>电子器件（+1.26%）</w:t>
      </w:r>
      <w:r>
        <w:rPr>
          <w:rFonts w:ascii="微软雅黑" w:hAnsi="微软雅黑" w:eastAsia="微软雅黑"/>
          <w:color w:val="1A1A1A"/>
          <w:sz w:val="22"/>
        </w:rPr>
        <w:t>、</w:t>
      </w:r>
      <w:r>
        <w:rPr>
          <w:rFonts w:ascii="微软雅黑" w:hAnsi="微软雅黑" w:eastAsia="微软雅黑"/>
          <w:b/>
          <w:color w:val="D29922"/>
          <w:sz w:val="22"/>
        </w:rPr>
        <w:t>陶瓷行业</w:t>
      </w:r>
      <w:r>
        <w:rPr>
          <w:rFonts w:ascii="微软雅黑" w:hAnsi="微软雅黑" w:eastAsia="微软雅黑"/>
          <w:color w:val="1A1A1A"/>
          <w:sz w:val="22"/>
        </w:rPr>
        <w:t>等泛科技制造领域。这显示出活跃资金在寻找无历史套牢盘且具备新产业逻辑的方向，与双创指数的强势完全吻合，核心驱动是国产替代逻辑的持续深化和部分细分赛道景气度反转预期。</w:t>
      </w:r>
    </w:p>
    <w:p>
      <w:pPr>
        <w:pStyle w:val="ListBullet"/>
        <w:spacing w:after="40"/>
      </w:pPr>
      <w:r>
        <w:rPr>
          <w:rFonts w:ascii="微软雅黑" w:hAnsi="微软雅黑" w:eastAsia="微软雅黑"/>
          <w:b/>
          <w:color w:val="D29922"/>
          <w:sz w:val="22"/>
        </w:rPr>
        <w:t>承压方向：</w:t>
      </w:r>
      <w:r>
        <w:rPr>
          <w:rFonts w:ascii="微软雅黑" w:hAnsi="微软雅黑" w:eastAsia="微软雅黑"/>
          <w:b/>
          <w:color w:val="D29922"/>
          <w:sz w:val="22"/>
        </w:rPr>
        <w:t>酿酒行业（-0.93%）</w:t>
      </w:r>
      <w:r>
        <w:rPr>
          <w:rFonts w:ascii="微软雅黑" w:hAnsi="微软雅黑" w:eastAsia="微软雅黑"/>
          <w:color w:val="1A1A1A"/>
          <w:sz w:val="22"/>
        </w:rPr>
        <w:t>、</w:t>
      </w:r>
      <w:r>
        <w:rPr>
          <w:rFonts w:ascii="微软雅黑" w:hAnsi="微软雅黑" w:eastAsia="微软雅黑"/>
          <w:b/>
          <w:color w:val="D29922"/>
          <w:sz w:val="22"/>
        </w:rPr>
        <w:t>金融行业（-0.14%）</w:t>
      </w:r>
      <w:r>
        <w:rPr>
          <w:rFonts w:ascii="微软雅黑" w:hAnsi="微软雅黑" w:eastAsia="微软雅黑"/>
          <w:color w:val="1A1A1A"/>
          <w:sz w:val="22"/>
        </w:rPr>
        <w:t>、</w:t>
      </w:r>
      <w:r>
        <w:rPr>
          <w:rFonts w:ascii="微软雅黑" w:hAnsi="微软雅黑" w:eastAsia="微软雅黑"/>
          <w:b/>
          <w:color w:val="D29922"/>
          <w:sz w:val="22"/>
        </w:rPr>
        <w:t>石油行业（-0.12%）</w:t>
      </w:r>
      <w:r>
        <w:rPr>
          <w:rFonts w:ascii="微软雅黑" w:hAnsi="微软雅黑" w:eastAsia="微软雅黑"/>
          <w:color w:val="1A1A1A"/>
          <w:sz w:val="22"/>
        </w:rPr>
        <w:t>领跌。这清晰表明防御性高股息策略今日完全被成长股抽血，市场风险偏好显著回升。</w:t>
      </w:r>
    </w:p>
    <w:p>
      <w:pPr>
        <w:pStyle w:val="Heading2"/>
      </w:pPr>
      <w:r>
        <w:rPr>
          <w:rFonts w:ascii="微软雅黑" w:hAnsi="微软雅黑" w:eastAsia="微软雅黑"/>
          <w:color w:val="1A1A1A"/>
          <w:sz w:val="22"/>
        </w:rPr>
        <w:t>💰 资金面：内资博弈主导，外资逆向减仓</w:t>
      </w:r>
    </w:p>
    <w:p>
      <w:pPr>
        <w:pStyle w:val="ListBullet"/>
        <w:spacing w:after="40"/>
      </w:pPr>
      <w:r>
        <w:rPr>
          <w:rFonts w:ascii="微软雅黑" w:hAnsi="微软雅黑" w:eastAsia="微软雅黑"/>
          <w:b/>
          <w:color w:val="D29922"/>
          <w:sz w:val="22"/>
        </w:rPr>
        <w:t>北向资金：</w:t>
      </w:r>
      <w:r>
        <w:rPr>
          <w:rFonts w:ascii="微软雅黑" w:hAnsi="微软雅黑" w:eastAsia="微软雅黑"/>
          <w:color w:val="1A1A1A"/>
          <w:sz w:val="22"/>
        </w:rPr>
        <w:t>今日净流出30.68亿元。其中，沪股通流出9.28亿，深股通流出逾21亿。外资与指数大涨形成显著背离，表明其可能在进行战术性高抛或调仓，对短期过热情绪保持警惕。</w:t>
      </w:r>
    </w:p>
    <w:p>
      <w:pPr>
        <w:pStyle w:val="ListBullet"/>
        <w:spacing w:after="40"/>
      </w:pPr>
      <w:r>
        <w:rPr>
          <w:rFonts w:ascii="微软雅黑" w:hAnsi="微软雅黑" w:eastAsia="微软雅黑"/>
          <w:b/>
          <w:color w:val="D29922"/>
          <w:sz w:val="22"/>
        </w:rPr>
        <w:t>主力资金：</w:t>
      </w:r>
      <w:r>
        <w:rPr>
          <w:rFonts w:ascii="微软雅黑" w:hAnsi="微软雅黑" w:eastAsia="微软雅黑"/>
          <w:color w:val="1A1A1A"/>
          <w:sz w:val="22"/>
        </w:rPr>
        <w:t>基于采样数据，大单净流入约110亿，与北向资金流向相反。内资机构是本日行情的主要推手，其买入方向决定了科技成长的胜利。</w:t>
      </w:r>
    </w:p>
    <w:p>
      <w:pPr>
        <w:pStyle w:val="Heading2"/>
      </w:pPr>
      <w:r>
        <w:rPr>
          <w:rFonts w:ascii="微软雅黑" w:hAnsi="微软雅黑" w:eastAsia="微软雅黑"/>
          <w:color w:val="1A1A1A"/>
          <w:sz w:val="22"/>
        </w:rPr>
        <w:t>📉 市场微观与宽度</w:t>
      </w:r>
    </w:p>
    <w:p>
      <w:pPr>
        <w:spacing w:after="120"/>
      </w:pPr>
      <w:r>
        <w:rPr>
          <w:rFonts w:ascii="微软雅黑" w:hAnsi="微软雅黑" w:eastAsia="微软雅黑"/>
          <w:b/>
          <w:color w:val="D29922"/>
          <w:sz w:val="22"/>
        </w:rPr>
        <w:t>情绪指标：</w:t>
      </w:r>
    </w:p>
    <w:p>
      <w:pPr>
        <w:pStyle w:val="ListBullet"/>
        <w:spacing w:after="40"/>
      </w:pPr>
      <w:r>
        <w:rPr>
          <w:rFonts w:ascii="微软雅黑" w:hAnsi="微软雅黑" w:eastAsia="微软雅黑"/>
          <w:b/>
          <w:color w:val="D29922"/>
          <w:sz w:val="22"/>
        </w:rPr>
        <w:t>涨跌家数：</w:t>
      </w:r>
      <w:r>
        <w:rPr>
          <w:rFonts w:ascii="微软雅黑" w:hAnsi="微软雅黑" w:eastAsia="微软雅黑"/>
          <w:color w:val="1A1A1A"/>
          <w:sz w:val="22"/>
        </w:rPr>
        <w:t>935家上涨 vs 54家下跌，涨跌比高达17.3:1，市场进入极端亢奋区。</w:t>
      </w:r>
    </w:p>
    <w:p>
      <w:pPr>
        <w:pStyle w:val="ListBullet"/>
        <w:spacing w:after="40"/>
      </w:pPr>
      <w:r>
        <w:rPr>
          <w:rFonts w:ascii="微软雅黑" w:hAnsi="微软雅黑" w:eastAsia="微软雅黑"/>
          <w:b/>
          <w:color w:val="D29922"/>
          <w:sz w:val="22"/>
        </w:rPr>
        <w:t>涨跌停对比：</w:t>
      </w:r>
      <w:r>
        <w:rPr>
          <w:rFonts w:ascii="微软雅黑" w:hAnsi="微软雅黑" w:eastAsia="微软雅黑"/>
          <w:color w:val="1A1A1A"/>
          <w:sz w:val="22"/>
        </w:rPr>
        <w:t>124家涨停 vs 0家跌停，多空力量悬殊，为极致多头行情。</w:t>
      </w:r>
    </w:p>
    <w:p>
      <w:pPr>
        <w:spacing w:after="120"/>
      </w:pPr>
      <w:r>
        <w:rPr>
          <w:rFonts w:ascii="微软雅黑" w:hAnsi="微软雅黑" w:eastAsia="微软雅黑"/>
          <w:b/>
          <w:color w:val="D29922"/>
          <w:sz w:val="22"/>
        </w:rPr>
        <w:t>信号解读：</w:t>
      </w:r>
      <w:r>
        <w:rPr>
          <w:rFonts w:ascii="微软雅黑" w:hAnsi="微软雅黑" w:eastAsia="微软雅黑"/>
          <w:color w:val="1A1A1A"/>
          <w:sz w:val="22"/>
        </w:rPr>
        <w:t>如此高的宽度往往预示短期有情绪过热的修正需求，但只要核心量能不减，回调幅度或将有限，并形成板块内的去弱留强。</w:t>
      </w:r>
    </w:p>
    <w:p>
      <w:pPr>
        <w:pStyle w:val="Heading2"/>
      </w:pPr>
      <w:r>
        <w:rPr>
          <w:rFonts w:ascii="微软雅黑" w:hAnsi="微软雅黑" w:eastAsia="微软雅黑"/>
          <w:color w:val="1A1A1A"/>
          <w:sz w:val="22"/>
        </w:rPr>
        <w:t>📈 技术信号：双创进入技术性强势区</w:t>
      </w:r>
    </w:p>
    <w:p>
      <w:pPr>
        <w:pStyle w:val="ListBullet"/>
        <w:spacing w:after="40"/>
      </w:pPr>
      <w:r>
        <w:rPr>
          <w:rFonts w:ascii="微软雅黑" w:hAnsi="微软雅黑" w:eastAsia="微软雅黑"/>
          <w:b/>
          <w:color w:val="D29922"/>
          <w:sz w:val="22"/>
        </w:rPr>
        <w:t>科创50：</w:t>
      </w:r>
      <w:r>
        <w:rPr>
          <w:rFonts w:ascii="微软雅黑" w:hAnsi="微软雅黑" w:eastAsia="微软雅黑"/>
          <w:color w:val="1A1A1A"/>
          <w:sz w:val="22"/>
        </w:rPr>
        <w:t>一根长阳突破多条关键中期均线（MA20/30），MACD零轴上方二次金叉，红柱骤然放长；RSI直冲70超买区，短期动能极强，有效突破了此前的低迷平台。</w:t>
      </w:r>
    </w:p>
    <w:p>
      <w:pPr>
        <w:pStyle w:val="ListBullet"/>
        <w:spacing w:after="40"/>
      </w:pPr>
      <w:r>
        <w:rPr>
          <w:rFonts w:ascii="微软雅黑" w:hAnsi="微软雅黑" w:eastAsia="微软雅黑"/>
          <w:b/>
          <w:color w:val="D29922"/>
          <w:sz w:val="22"/>
        </w:rPr>
        <w:t>创业板指：</w:t>
      </w:r>
      <w:r>
        <w:rPr>
          <w:rFonts w:ascii="微软雅黑" w:hAnsi="微软雅黑" w:eastAsia="微软雅黑"/>
          <w:color w:val="1A1A1A"/>
          <w:sz w:val="22"/>
        </w:rPr>
        <w:t>同步完成对近期整理平台的突破，周线级别KDJ同样金叉向上发散，中期修复行情确认。</w:t>
      </w:r>
    </w:p>
    <w:p>
      <w:pPr>
        <w:pStyle w:val="ListBullet"/>
        <w:spacing w:after="40"/>
      </w:pPr>
      <w:r>
        <w:rPr>
          <w:rFonts w:ascii="微软雅黑" w:hAnsi="微软雅黑" w:eastAsia="微软雅黑"/>
          <w:b/>
          <w:color w:val="D29922"/>
          <w:sz w:val="22"/>
        </w:rPr>
        <w:t>上证指数：</w:t>
      </w:r>
      <w:r>
        <w:rPr>
          <w:rFonts w:ascii="微软雅黑" w:hAnsi="微软雅黑" w:eastAsia="微软雅黑"/>
          <w:color w:val="1A1A1A"/>
          <w:sz w:val="22"/>
        </w:rPr>
        <w:t>被动跟涨，仍受困于MA60压制（约3850点一线）。指数间背离，再次确认当前市场为结构性的成长牛市而非全面牛市。</w:t>
      </w:r>
    </w:p>
    <w:p>
      <w:pPr>
        <w:pStyle w:val="Heading2"/>
      </w:pPr>
      <w:r>
        <w:rPr>
          <w:rFonts w:ascii="微软雅黑" w:hAnsi="微软雅黑" w:eastAsia="微软雅黑"/>
          <w:color w:val="1A1A1A"/>
          <w:sz w:val="22"/>
        </w:rPr>
        <w:t>🌐 宏观背景解读</w:t>
      </w:r>
    </w:p>
    <w:p>
      <w:pPr>
        <w:pStyle w:val="ListBullet"/>
        <w:spacing w:after="40"/>
      </w:pPr>
      <w:r>
        <w:rPr>
          <w:rFonts w:ascii="微软雅黑" w:hAnsi="微软雅黑" w:eastAsia="微软雅黑"/>
          <w:b/>
          <w:color w:val="D29922"/>
          <w:sz w:val="22"/>
        </w:rPr>
        <w:t>通胀环境：</w:t>
      </w:r>
      <w:r>
        <w:rPr>
          <w:rFonts w:ascii="微软雅黑" w:hAnsi="微软雅黑" w:eastAsia="微软雅黑"/>
          <w:color w:val="1A1A1A"/>
          <w:sz w:val="22"/>
        </w:rPr>
        <w:t>CPI温和（1.0%），PPI处于低位（4.1%但环比下降），为后续货币政策维持宽松腾出空间。</w:t>
      </w:r>
    </w:p>
    <w:p>
      <w:pPr>
        <w:pStyle w:val="ListBullet"/>
        <w:spacing w:after="40"/>
      </w:pPr>
      <w:r>
        <w:rPr>
          <w:rFonts w:ascii="微软雅黑" w:hAnsi="微软雅黑" w:eastAsia="微软雅黑"/>
          <w:b/>
          <w:color w:val="D29922"/>
          <w:sz w:val="22"/>
        </w:rPr>
        <w:t>流动性宽裕：</w:t>
      </w:r>
      <w:r>
        <w:rPr>
          <w:rFonts w:ascii="微软雅黑" w:hAnsi="微软雅黑" w:eastAsia="微软雅黑"/>
          <w:color w:val="1A1A1A"/>
          <w:sz w:val="22"/>
        </w:rPr>
        <w:t>M2同比增8.0%，社融存量大，宏观流动性无虞。LPR已连续14个月未动，政策利率稳定，市场利率环境相对友好，有利于成长股估值扩张。</w:t>
      </w:r>
    </w:p>
    <w:p>
      <w:pPr>
        <w:pStyle w:val="ListBullet"/>
        <w:spacing w:after="40"/>
      </w:pPr>
      <w:r>
        <w:rPr>
          <w:rFonts w:ascii="微软雅黑" w:hAnsi="微软雅黑" w:eastAsia="微软雅黑"/>
          <w:b/>
          <w:color w:val="D29922"/>
          <w:sz w:val="22"/>
        </w:rPr>
        <w:t>经济温和复苏：</w:t>
      </w:r>
      <w:r>
        <w:rPr>
          <w:rFonts w:ascii="微软雅黑" w:hAnsi="微软雅黑" w:eastAsia="微软雅黑"/>
          <w:color w:val="1A1A1A"/>
          <w:sz w:val="22"/>
        </w:rPr>
        <w:t>PMI连续处于50.3%的扩张区间，为市场情绪提供了基本支撑，但力度不强，因此资金更青睐与宏观经济关联度较弱的科技主题。</w:t>
      </w:r>
    </w:p>
    <w:p>
      <w:pPr>
        <w:pStyle w:val="Heading2"/>
      </w:pPr>
      <w:r>
        <w:rPr>
          <w:rFonts w:ascii="微软雅黑" w:hAnsi="微软雅黑" w:eastAsia="微软雅黑"/>
          <w:color w:val="1A1A1A"/>
          <w:sz w:val="22"/>
        </w:rPr>
        <w:t>⚠️ 风险提示与明日关注</w:t>
      </w:r>
    </w:p>
    <w:p>
      <w:pPr>
        <w:spacing w:after="120"/>
      </w:pPr>
      <w:r>
        <w:rPr>
          <w:rFonts w:ascii="微软雅黑" w:hAnsi="微软雅黑" w:eastAsia="微软雅黑"/>
          <w:b/>
          <w:color w:val="D29922"/>
          <w:sz w:val="22"/>
        </w:rPr>
        <w:t>核心风险：情绪过热后的技术性回调。</w:t>
      </w:r>
      <w:r>
        <w:rPr>
          <w:rFonts w:ascii="微软雅黑" w:hAnsi="微软雅黑" w:eastAsia="微软雅黑"/>
          <w:color w:val="1A1A1A"/>
          <w:sz w:val="22"/>
        </w:rPr>
        <w:t>今日涨跌比已达极致，明日个股分化在所难免。</w:t>
      </w:r>
    </w:p>
    <w:p>
      <w:pPr>
        <w:spacing w:after="120"/>
      </w:pPr>
      <w:r>
        <w:rPr>
          <w:rFonts w:ascii="微软雅黑" w:hAnsi="微软雅黑" w:eastAsia="微软雅黑"/>
          <w:b/>
          <w:color w:val="D29922"/>
          <w:sz w:val="22"/>
        </w:rPr>
        <w:t>明日关注要点：</w:t>
      </w:r>
    </w:p>
    <w:p>
      <w:pPr>
        <w:pStyle w:val="ListBullet"/>
        <w:spacing w:after="40"/>
      </w:pPr>
      <w:r>
        <w:rPr>
          <w:rFonts w:ascii="微软雅黑" w:hAnsi="微软雅黑" w:eastAsia="微软雅黑"/>
          <w:b/>
          <w:color w:val="D29922"/>
          <w:sz w:val="22"/>
        </w:rPr>
        <w:t>板块持续性：</w:t>
      </w:r>
      <w:r>
        <w:rPr>
          <w:rFonts w:ascii="微软雅黑" w:hAnsi="微软雅黑" w:eastAsia="微软雅黑"/>
          <w:color w:val="1A1A1A"/>
          <w:sz w:val="22"/>
        </w:rPr>
        <w:t>重点观察电子器件、次新股板块能否在明日维持强势，这是判断本轮行情是否具备持续性的试金石。</w:t>
      </w:r>
    </w:p>
    <w:p>
      <w:pPr>
        <w:pStyle w:val="ListBullet"/>
        <w:spacing w:after="40"/>
      </w:pPr>
      <w:r>
        <w:rPr>
          <w:rFonts w:ascii="微软雅黑" w:hAnsi="微软雅黑" w:eastAsia="微软雅黑"/>
          <w:b/>
          <w:color w:val="D29922"/>
          <w:sz w:val="22"/>
        </w:rPr>
        <w:t>关键个股：</w:t>
      </w:r>
      <w:r>
        <w:rPr>
          <w:rFonts w:ascii="微软雅黑" w:hAnsi="微软雅黑" w:eastAsia="微软雅黑"/>
          <w:color w:val="1A1A1A"/>
          <w:sz w:val="22"/>
        </w:rPr>
        <w:t>关注福昕软件、海川智能等高换手涨停股是否出现剧烈分歧，以及宁德时代等权重能否支撑创业板指。</w:t>
      </w:r>
    </w:p>
    <w:p>
      <w:pPr>
        <w:pStyle w:val="ListBullet"/>
        <w:spacing w:after="40"/>
      </w:pPr>
      <w:r>
        <w:rPr>
          <w:rFonts w:ascii="微软雅黑" w:hAnsi="微软雅黑" w:eastAsia="微软雅黑"/>
          <w:b/>
          <w:color w:val="D29922"/>
          <w:sz w:val="22"/>
        </w:rPr>
        <w:t>技术位攻防：</w:t>
      </w:r>
      <w:r>
        <w:rPr>
          <w:rFonts w:ascii="微软雅黑" w:hAnsi="微软雅黑" w:eastAsia="微软雅黑"/>
          <w:color w:val="1A1A1A"/>
          <w:sz w:val="22"/>
        </w:rPr>
        <w:t>观察</w:t>
      </w:r>
      <w:r>
        <w:rPr>
          <w:rFonts w:ascii="微软雅黑" w:hAnsi="微软雅黑" w:eastAsia="微软雅黑"/>
          <w:b/>
          <w:color w:val="D29922"/>
          <w:sz w:val="22"/>
        </w:rPr>
        <w:t>科创50指数</w:t>
      </w:r>
      <w:r>
        <w:rPr>
          <w:rFonts w:ascii="微软雅黑" w:hAnsi="微软雅黑" w:eastAsia="微软雅黑"/>
          <w:color w:val="1A1A1A"/>
          <w:sz w:val="22"/>
        </w:rPr>
        <w:t>能否站稳1685点（今日K线实体一半位置），若不破则短期强攻结构不变；关注</w:t>
      </w:r>
      <w:r>
        <w:rPr>
          <w:rFonts w:ascii="微软雅黑" w:hAnsi="微软雅黑" w:eastAsia="微软雅黑"/>
          <w:b/>
          <w:color w:val="D29922"/>
          <w:sz w:val="22"/>
        </w:rPr>
        <w:t>上证指数</w:t>
      </w:r>
      <w:r>
        <w:rPr>
          <w:rFonts w:ascii="微软雅黑" w:hAnsi="微软雅黑" w:eastAsia="微软雅黑"/>
          <w:color w:val="1A1A1A"/>
          <w:sz w:val="22"/>
        </w:rPr>
        <w:t>能否在回调时守住3820点。</w:t>
      </w:r>
    </w:p>
    <w:p>
      <w:pPr>
        <w:pStyle w:val="ListBullet"/>
        <w:spacing w:after="40"/>
      </w:pPr>
      <w:r>
        <w:rPr>
          <w:rFonts w:ascii="微软雅黑" w:hAnsi="微软雅黑" w:eastAsia="微软雅黑"/>
          <w:b/>
          <w:color w:val="D29922"/>
          <w:sz w:val="22"/>
        </w:rPr>
        <w:t>资金验证：</w:t>
      </w:r>
      <w:r>
        <w:rPr>
          <w:rFonts w:ascii="微软雅黑" w:hAnsi="微软雅黑" w:eastAsia="微软雅黑"/>
          <w:color w:val="1A1A1A"/>
          <w:sz w:val="22"/>
        </w:rPr>
        <w:t>重点关注明日北向资金是否转头流入，以及内资大单净流入的姿态是否持续，两者若共振流入，则行情空间可看高一线。</w:t>
      </w:r>
    </w:p>
    <w:p>
      <w:pPr>
        <w:spacing w:after="120"/>
      </w:pPr>
      <w:r>
        <w:rPr>
          <w:rFonts w:ascii="微软雅黑" w:hAnsi="微软雅黑" w:eastAsia="微软雅黑"/>
          <w:color w:val="1A1A1A"/>
          <w:sz w:val="22"/>
        </w:rPr>
        <w:t>⚠️ 免责声明：本报告由 AI 自动生成，仅供参考，不构成任何投资建议。投资有风险，入市需谨慎。报告中的数据来源于公开接口，不对其准确性做任何保证。</w:t>
      </w:r>
    </w:p>
    <w:p/>
    <w:p>
      <w:r>
        <w:rPr>
          <w:color w:val="8B949E"/>
          <w:sz w:val="16"/>
        </w:rPr>
        <w:t>⚠️ 免责声明：本报告由 AI 自动生成，仅供参考，不构成任何投资建议。投资有风险，入市需谨慎。报告中的数据来源于公开接口，不对其准确性做任何保证。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