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2026-09-11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3862.68</w:t>
            </w:r>
          </w:p>
        </w:tc>
        <w:tc>
          <w:tcPr>
            <w:tcW w:type="dxa" w:w="2160"/>
          </w:tcPr>
          <w:p>
            <w:r>
              <w:t>-1.82%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13298.39</w:t>
            </w:r>
          </w:p>
        </w:tc>
        <w:tc>
          <w:tcPr>
            <w:tcW w:type="dxa" w:w="2160"/>
          </w:tcPr>
          <w:p>
            <w:r>
              <w:t>-2.34%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3270.19</w:t>
            </w:r>
          </w:p>
        </w:tc>
        <w:tc>
          <w:tcPr>
            <w:tcW w:type="dxa" w:w="2160"/>
          </w:tcPr>
          <w:p>
            <w:r>
              <w:t>-2.04%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1522.17</w:t>
            </w:r>
          </w:p>
        </w:tc>
        <w:tc>
          <w:tcPr>
            <w:tcW w:type="dxa" w:w="2160"/>
          </w:tcPr>
          <w:p>
            <w:r>
              <w:t>-3.00%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4476.11</w:t>
            </w:r>
          </w:p>
        </w:tc>
        <w:tc>
          <w:tcPr>
            <w:tcW w:type="dxa" w:w="2160"/>
          </w:tcPr>
          <w:p>
            <w:r>
              <w:t>-1.59%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7470.56</w:t>
            </w:r>
          </w:p>
        </w:tc>
        <w:tc>
          <w:tcPr>
            <w:tcW w:type="dxa" w:w="2160"/>
          </w:tcPr>
          <w:p>
            <w:r>
              <w:t>-3.20%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25.6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-10.9 亿  |  大单净 -12.49 亿  |  涨家 15 / 跌家 15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本时段核心变化是：放量普跌下，科创50与中证500加速下行，市场宽度崩坏（上涨比例仅4.8%），防御性低估值板块轮动承接，资金分歧加大。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A股呈现放量普跌格局，主要指数全线深绿，科创50（-3.00%）与中证500（-3.20%）领跌，上证指数（-1.82%）相对抗跌。全市场下跌个股949家、上涨仅48家，上涨比例4.8%，涨停2家、跌停7家，赚钱效应几乎消失。半日成交额12747亿，较上一时段放量35.1%，较昨日同期放量16.8%，恐慌性抛售特征明显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：48涨/949跌/3平，上涨比例4.8%。极端弱势，接近冰点，但历史上此类宽度往往伴随短线超跌反弹，需观察午后能否修复。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：12747亿（半日），较上一时段+35.1%，较昨日同期+16.8%。放量下跌，抛压主动释放，无缩量企稳迹象。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外资监测（南向+外部联动）</w:t>
      </w:r>
      <w:r>
        <w:rPr>
          <w:rFonts w:ascii="微软雅黑" w:hAnsi="微软雅黑" w:eastAsia="微软雅黑"/>
          <w:color w:val="1A1A1A"/>
          <w:sz w:val="22"/>
        </w:rPr>
        <w:t>：南向资金净买入25.63亿（沪22.63亿+深3.0亿），较上一时段+2.1亿，较昨日同期由净卖出（-8.4亿）转为净买入。外部联动方面，恒生指数-1.00%、恒生科技-1.02%、离岸人民币微升（-0.04%）。南向逆势净买入但外部联动偏空，内外信号背离，按分析框架以内盘量价为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指数边际变化</w:t>
      </w:r>
      <w:r>
        <w:rPr>
          <w:rFonts w:ascii="微软雅黑" w:hAnsi="微软雅黑" w:eastAsia="微软雅黑"/>
          <w:color w:val="1A1A1A"/>
          <w:sz w:val="22"/>
        </w:rPr>
        <w:t>：较上一时段，创业板指和科创50分别加速下跌0.50pp，中证500横盘（-0.10pp），上证和沪深300跌幅略收窄；较昨日同期则全面加速下跌，科创50扩大2.57pp、中证500扩大2.68pp，属于动能加速，而非衰竭。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相对抗跌（领涨）板块</w:t>
      </w:r>
      <w:r>
        <w:rPr>
          <w:rFonts w:ascii="微软雅黑" w:hAnsi="微软雅黑" w:eastAsia="微软雅黑"/>
          <w:color w:val="1A1A1A"/>
          <w:sz w:val="22"/>
        </w:rPr>
        <w:t>：水泥行业（-0.23%）、农林牧渔（-0.23%）、摩托车（-0.23%），金融行业（-0.25%）、房地产（-0.27%）紧随其后。驱动因素：资金避险涌入低估值、高股息、防御性品种，水泥、农业受益于政策预期和刚性需求，金融地产具备护盘属性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：次新股（-2.23%）、有色金属（-1.21%）、陶瓷（-0.97%）、酿酒（-0.82%）、电子器件（-0.79%）。有色金属大跌主要受铜价高位回落及前期涨幅过大影响，次新股则因风险偏好急剧收缩遭抛售。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板块轮动警示</w:t>
      </w:r>
      <w:r>
        <w:rPr>
          <w:rFonts w:ascii="微软雅黑" w:hAnsi="微软雅黑" w:eastAsia="微软雅黑"/>
          <w:color w:val="1A1A1A"/>
          <w:sz w:val="22"/>
        </w:rPr>
        <w:t>：较上一时段，领涨板块完全替换（由其他数字媒体、通信线缆及配套、文字媒体切换至水泥、农业、摩托车），显示场内资金无持续主线，短线博弈色彩浓厚，操作难度极大。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从价格行为推断，主要指数均处于短期均线下方，空头排列明显。科创50、中证500加速下跌，指数创近期新低，KDJ低位钝化、RSI进入超卖区，MACD绿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