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3933.65</w:t>
            </w:r>
          </w:p>
        </w:tc>
        <w:tc>
          <w:tcPr>
            <w:tcW w:type="dxa" w:w="2160"/>
          </w:tcPr>
          <w:p>
            <w:r>
              <w:t>-0.83%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14258.01</w:t>
            </w:r>
          </w:p>
        </w:tc>
        <w:tc>
          <w:tcPr>
            <w:tcW w:type="dxa" w:w="2160"/>
          </w:tcPr>
          <w:p>
            <w:r>
              <w:t>-0.41%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3548.40</w:t>
            </w:r>
          </w:p>
        </w:tc>
        <w:tc>
          <w:tcPr>
            <w:tcW w:type="dxa" w:w="2160"/>
          </w:tcPr>
          <w:p>
            <w:r>
              <w:t>+0.32%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1709.42</w:t>
            </w:r>
          </w:p>
        </w:tc>
        <w:tc>
          <w:tcPr>
            <w:tcW w:type="dxa" w:w="2160"/>
          </w:tcPr>
          <w:p>
            <w:r>
              <w:t>-1.63%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4663.36</w:t>
            </w:r>
          </w:p>
        </w:tc>
        <w:tc>
          <w:tcPr>
            <w:tcW w:type="dxa" w:w="2160"/>
          </w:tcPr>
          <w:p>
            <w:r>
              <w:t>-0.82%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7966.50</w:t>
            </w:r>
          </w:p>
        </w:tc>
        <w:tc>
          <w:tcPr>
            <w:tcW w:type="dxa" w:w="2160"/>
          </w:tcPr>
          <w:p>
            <w:r>
              <w:t>-0.80%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22280 亿（高活跃度）</w:t>
      </w:r>
    </w:p>
    <w:p>
      <w:r>
        <w:t xml:space="preserve">  沪/深偏好：沪市 41%（偏成长进攻）</w:t>
      </w:r>
    </w:p>
    <w:p>
      <w:r>
        <w:t xml:space="preserve">  南向资金：净买入 2.8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23.46 亿  |  大单净 22.75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A股收盘复盘报告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日期：</w:t>
      </w:r>
      <w:r>
        <w:rPr>
          <w:rFonts w:ascii="微软雅黑" w:hAnsi="微软雅黑" w:eastAsia="微软雅黑"/>
          <w:color w:val="1A1A1A"/>
          <w:sz w:val="22"/>
        </w:rPr>
        <w:t>2026年8月11日 15:00 |</w:t>
      </w:r>
      <w:r>
        <w:rPr>
          <w:rFonts w:ascii="微软雅黑" w:hAnsi="微软雅黑" w:eastAsia="微软雅黑"/>
          <w:b/>
          <w:color w:val="D29922"/>
          <w:sz w:val="22"/>
        </w:rPr>
        <w:t>全市场成交额：</w:t>
      </w:r>
      <w:r>
        <w:rPr>
          <w:rFonts w:ascii="微软雅黑" w:hAnsi="微软雅黑" w:eastAsia="微软雅黑"/>
          <w:color w:val="1A1A1A"/>
          <w:sz w:val="22"/>
        </w:rPr>
        <w:t>22,991亿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免责声明：本报告由AI自动生成，仅供参考，不构成任何投资建议。投资有风险，入市需谨慎。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指数加速分化与南向资金回流A股</w:t>
      </w:r>
      <w:r>
        <w:rPr>
          <w:rFonts w:ascii="微软雅黑" w:hAnsi="微软雅黑" w:eastAsia="微软雅黑"/>
          <w:color w:val="1A1A1A"/>
          <w:sz w:val="22"/>
        </w:rPr>
        <w:t>。今日市场呈现典型的“压指数、炒个股”格局。权重股拖累上证与沪深300加速下行，但创业板指逆市收红，市场风险偏好并未全面崩塌。全日成交额放大至2.3万亿，多空博弈剧烈，资金从大市值向小市值、从传统价值向成长题材切换的迹象显著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二、核心指标：冰火两重天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325:658（32.5%）。大部分个股下跌，市场宽度偏空，但涨停仍有14家，无大规模恐慌性跌停，情绪属于“冷静调整”而非“溃败”。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22,991亿。较昨日同期放量23%+。典型的放量下跌调整，说明在当前位置筹码交换剧烈，获利盘与承接盘互相博弈。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外资监测：</w:t>
      </w:r>
      <w:r>
        <w:rPr>
          <w:rFonts w:ascii="微软雅黑" w:hAnsi="微软雅黑" w:eastAsia="微软雅黑"/>
          <w:color w:val="1A1A1A"/>
          <w:sz w:val="22"/>
        </w:rPr>
        <w:t>北向活跃度（成交额）22,280亿，维持高位。沪/深偏好为41%，继续偏好深市，表明外资交易盘当前风格偏成长进攻，而非大金融/红利等价值防御，这与沪指下跌、创业板上行的盘面特征高度吻合。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净买入仅+2.76亿。较上一时段的净买入+14亿，以及昨日同期的+37亿，出现断崖式暴跌（-34亿）。这是极具指示性的信号——内资南下抄底港股意愿骤减，资金开始回流A股博弈。口诀提示：南向净买大幅减少 → A股情绪偏强。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三、指数分析：结构分化加剧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上证指数(-0.83%)：</w:t>
      </w:r>
      <w:r>
        <w:rPr>
          <w:rFonts w:ascii="微软雅黑" w:hAnsi="微软雅黑" w:eastAsia="微软雅黑"/>
          <w:color w:val="1A1A1A"/>
          <w:sz w:val="22"/>
        </w:rPr>
        <w:t>跌幅较上一时段扩大0.5pp，呈加速下跌态势，资金流出权重蓝筹。动能加速向下，抛压未减。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深证成指(-0.41%)：</w:t>
      </w:r>
      <w:r>
        <w:rPr>
          <w:rFonts w:ascii="微软雅黑" w:hAnsi="微软雅黑" w:eastAsia="微软雅黑"/>
          <w:color w:val="1A1A1A"/>
          <w:sz w:val="22"/>
        </w:rPr>
        <w:t>同样加速下跌，但幅度小于上证，主要受创业板权重对冲影响。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创业板指(+0.32%)：</w:t>
      </w:r>
      <w:r>
        <w:rPr>
          <w:rFonts w:ascii="微软雅黑" w:hAnsi="微软雅黑" w:eastAsia="微软雅黑"/>
          <w:color w:val="1A1A1A"/>
          <w:sz w:val="22"/>
        </w:rPr>
        <w:t>两市唯一收红的主要指数。但需注意，涨幅较上一时段收缩0.81pp，属于动能衰竭。尾盘或有部分短线资金兑现，明日若不能高开高走，存在补跌风险。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科创50(-1.63%)：</w:t>
      </w:r>
      <w:r>
        <w:rPr>
          <w:rFonts w:ascii="微软雅黑" w:hAnsi="微软雅黑" w:eastAsia="微软雅黑"/>
          <w:color w:val="1A1A1A"/>
          <w:sz w:val="22"/>
        </w:rPr>
        <w:t>跌幅最大（-1.35pp加速），半导体等硬科技承压。与创业板的背离，再次确认短期热点偏向AI应用、机器人、新材料等更细分的成长线，而非大市值芯片。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四、板块热点：小盘题材主导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领涨主线：</w:t>
      </w:r>
      <w:r>
        <w:rPr>
          <w:rFonts w:ascii="微软雅黑" w:hAnsi="微软雅黑" w:eastAsia="微软雅黑"/>
          <w:color w:val="1A1A1A"/>
          <w:sz w:val="22"/>
        </w:rPr>
        <w:t>机器人产业链（绿的谐波、巨轮智能领衔）、部分医药与化工材料。新股、次新股（如N超纯暴涨662%）吸引了巨量投机资金，反映市场纯炒作情绪依旧亢奋，但此类标的波动巨大，不构成板块逻辑。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杀跌重灾区：</w:t>
      </w:r>
      <w:r>
        <w:rPr>
          <w:rFonts w:ascii="微软雅黑" w:hAnsi="微软雅黑" w:eastAsia="微软雅黑"/>
          <w:color w:val="1A1A1A"/>
          <w:sz w:val="22"/>
        </w:rPr>
        <w:t>前期强势的中字头、航运（招商轮船-9.4%）、部分高位科技股（斯瑞新材-11.5%）。资金“高低切”动作明确，撤离前期拥挤的防御性高股息和短期超买的科技，流向新的题材洼地。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五、量化视角：放量换手，资金腾挪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上证放量下跌，创业板缩量上涨，前者是标准的空头信号，后者则是多头乏力信号。市场整体呈现“量增价跌”，短期调整压力未完全释放。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资金流向（新浪样本）：</w:t>
      </w:r>
      <w:r>
        <w:rPr>
          <w:rFonts w:ascii="微软雅黑" w:hAnsi="微软雅黑" w:eastAsia="微软雅黑"/>
          <w:color w:val="1A1A1A"/>
          <w:sz w:val="22"/>
        </w:rPr>
        <w:t>大单/特大单净流入22.75亿，但样本偏向深市科技股。结合上证权重流出，可推断：机构资金正在大幅降低上证50/沪深300权重仓位，移仓至中小市值成长股。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龙虎榜信号：</w:t>
      </w:r>
      <w:r>
        <w:rPr>
          <w:rFonts w:ascii="微软雅黑" w:hAnsi="微软雅黑" w:eastAsia="微软雅黑"/>
          <w:color w:val="1A1A1A"/>
          <w:sz w:val="22"/>
        </w:rPr>
        <w:t>招金黄金（3日累涨25%）、风华高科（振幅17%）上榜，显示黄金板块与电子元件博弈激烈。典型游资主导行情，机构身影较少。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六、宏观背景：主动降速期的结构性叙事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PMI(7月49.2)跌破荣枯线</w:t>
      </w:r>
      <w:r>
        <w:rPr>
          <w:rFonts w:ascii="微软雅黑" w:hAnsi="微软雅黑" w:eastAsia="微软雅黑"/>
          <w:color w:val="1A1A1A"/>
          <w:sz w:val="22"/>
        </w:rPr>
        <w:t>，确认经济在夏季洪涝与淡季下主动降速。这反而强化了市场对“传统经济淡、新经济旺”的结构性押注，解释了为何资金抛售传统蓝筹，涌入代表新质生产力的创业板。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CPI(同比0.5%)与PPI(同比3.5%)均回落</w:t>
      </w:r>
      <w:r>
        <w:rPr>
          <w:rFonts w:ascii="微软雅黑" w:hAnsi="微软雅黑" w:eastAsia="微软雅黑"/>
          <w:color w:val="1A1A1A"/>
          <w:sz w:val="22"/>
        </w:rPr>
        <w:t>，特别是PPI受国际油价拖累，短期通胀无虞，</w:t>
      </w:r>
      <w:r>
        <w:rPr>
          <w:rFonts w:ascii="微软雅黑" w:hAnsi="微软雅黑" w:eastAsia="微软雅黑"/>
          <w:b/>
          <w:color w:val="D29922"/>
          <w:sz w:val="22"/>
        </w:rPr>
        <w:t>货币政策维持宽松的预期稳固</w:t>
      </w:r>
      <w:r>
        <w:rPr>
          <w:rFonts w:ascii="微软雅黑" w:hAnsi="微软雅黑" w:eastAsia="微软雅黑"/>
          <w:color w:val="1A1A1A"/>
          <w:sz w:val="22"/>
        </w:rPr>
        <w:t>。LPR连续14个月未动，但商业银行净息差仅1.4%的历史极值，意味着降息降准势在必行，只是时点问题。充裕的流动性是当前小票活跃的根本保障。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离岸人民币(CNH)微贬至6.7469，恒生科技收涨0.27%。信号偏中性，未对A股形成拖累，外资无恐慌流出迹象，更多是内部分化。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创业板动能衰竭风险：</w:t>
      </w:r>
      <w:r>
        <w:rPr>
          <w:rFonts w:ascii="微软雅黑" w:hAnsi="微软雅黑" w:eastAsia="微软雅黑"/>
          <w:color w:val="1A1A1A"/>
          <w:sz w:val="22"/>
        </w:rPr>
        <w:t>今日涨幅收窄，若明日无法放量上攻，极易形成短期双顶，引发题材股获利盘集体兑现。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主线真空风险：</w:t>
      </w:r>
      <w:r>
        <w:rPr>
          <w:rFonts w:ascii="微软雅黑" w:hAnsi="微软雅黑" w:eastAsia="微软雅黑"/>
          <w:color w:val="1A1A1A"/>
          <w:sz w:val="22"/>
        </w:rPr>
        <w:t>当前热点散乱，从次新股、机器人到医药，缺乏一条能容纳千亿资金的清晰主线。若板块轮动过快（电风扇行情），追高极易被套。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权重持续失血：</w:t>
      </w:r>
      <w:r>
        <w:rPr>
          <w:rFonts w:ascii="微软雅黑" w:hAnsi="微软雅黑" w:eastAsia="微软雅黑"/>
          <w:color w:val="1A1A1A"/>
          <w:sz w:val="22"/>
        </w:rPr>
        <w:t>上证持续加速下跌，若跌破关键支撑，将拖累全市场情绪，届时小票也难以独善其身。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八、明日关注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核心观察点：</w:t>
      </w:r>
      <w:r>
        <w:rPr>
          <w:rFonts w:ascii="微软雅黑" w:hAnsi="微软雅黑" w:eastAsia="微软雅黑"/>
          <w:color w:val="1A1A1A"/>
          <w:sz w:val="22"/>
        </w:rPr>
        <w:t>创业板指在3550点一线的争夺。若高开高走放量突破，则结构牛延续；若平开低走或高开低走，则果断降低小盘成长仓位。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板块关注：</w:t>
      </w:r>
      <w:r>
        <w:rPr>
          <w:rFonts w:ascii="微软雅黑" w:hAnsi="微软雅黑" w:eastAsia="微软雅黑"/>
          <w:color w:val="1A1A1A"/>
          <w:sz w:val="22"/>
        </w:rPr>
        <w:t>今日领涨的机器人、医药板块的溢价表现，以及外资偏好的深市科技权重（新能源、电子）。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数据验证：</w:t>
      </w:r>
      <w:r>
        <w:rPr>
          <w:rFonts w:ascii="微软雅黑" w:hAnsi="微软雅黑" w:eastAsia="微软雅黑"/>
          <w:color w:val="1A1A1A"/>
          <w:sz w:val="22"/>
        </w:rPr>
        <w:t>观察南向资金是否连续净买入低于10亿，这将持续印证内资回流A股的逻辑。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