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盘前简报</w:t>
      </w:r>
    </w:p>
    <w:p>
      <w:pPr>
        <w:jc w:val="center"/>
      </w:pPr>
      <w:r>
        <w:rPr>
          <w:color w:val="8B949E"/>
          <w:sz w:val="20"/>
        </w:rPr>
        <w:t>2026-09-04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3942.01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13625.12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3312.54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1611.17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4552.13</w:t>
            </w:r>
          </w:p>
        </w:tc>
        <w:tc>
          <w:tcPr>
            <w:tcW w:type="dxa" w:w="2160"/>
          </w:tcPr>
          <w:p>
            <w:r>
              <w:t>-0.01%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7755.32</w:t>
            </w:r>
          </w:p>
        </w:tc>
        <w:tc>
          <w:tcPr>
            <w:tcW w:type="dxa" w:w="2160"/>
          </w:tcPr>
          <w:p>
            <w:r>
              <w:t>+-0.00%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一、隔夜传导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隔夜纳斯达克大涨1.4%，而A股昨日收盘各指数几乎零波动（上证-0.00%、深成指+0.00%、创业板+0.00%），外强内弱格局明显。富时A50期货数据缺失，无法直接验证外资开盘指向；仅从纳指传导看，科技成长板块（创业板、科创50）可能高开，但需警惕高开低走，因昨日科创50虽较上一时段加速上涨+0.35pp，但中证500较上一时段涨势放缓-0.36pp，市场内生分化严重，外部利好难以形成合力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二、今日关注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板块快速轮动：领涨板块从次新股、陶瓷行业、家具行业完全替换为船舶制造、玻璃行业、传媒娱乐，结合指数横盘（上证-0.00%、深成指+0.00%、创业板+0.00%，均较昨日同期无实质变化），市场缺乏主线，资金短线博弈特征显著。结合宏观背景：7月CPI同比0.5%（前值1.0%）、PPI同比3.5%（前值4.1%）、制造业PMI 49.2跌破荣枯线，经济动能偏弱；但M2同比8.0%、LPR连续14个月未动、商业银行净息差1.4%历史低位，政策空间受制约。今日关注以下风险点：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量价背离风险</w:t>
      </w:r>
      <w:r>
        <w:rPr>
          <w:rFonts w:ascii="微软雅黑" w:hAnsi="微软雅黑" w:eastAsia="微软雅黑"/>
          <w:color w:val="1A1A1A"/>
          <w:sz w:val="22"/>
        </w:rPr>
        <w:t>：指数横盘但板块高速轮动，若开盘高开后量能无法持续（可关注前30分钟成交额是否突破昨日同期），警惕冲高回落；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科创50加速与中证500放缓背离</w:t>
      </w:r>
      <w:r>
        <w:rPr>
          <w:rFonts w:ascii="微软雅黑" w:hAnsi="微软雅黑" w:eastAsia="微软雅黑"/>
          <w:color w:val="1A1A1A"/>
          <w:sz w:val="22"/>
        </w:rPr>
        <w:t>：较上一时段科创50 +0.35pp加速、中证500 -0.36pp放缓，大小盘分化加大，若科创50放量滞涨则为动能衰竭信号；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板块轮动陷阱</w:t>
      </w:r>
      <w:r>
        <w:rPr>
          <w:rFonts w:ascii="微软雅黑" w:hAnsi="微软雅黑" w:eastAsia="微软雅黑"/>
          <w:color w:val="1A1A1A"/>
          <w:sz w:val="22"/>
        </w:rPr>
        <w:t>：新领涨板块（船舶、玻璃、传媒）多为事件驱动或超跌反弹，持续性存疑，勿追高；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政策预期落空风险</w:t>
      </w:r>
      <w:r>
        <w:rPr>
          <w:rFonts w:ascii="微软雅黑" w:hAnsi="微软雅黑" w:eastAsia="微软雅黑"/>
          <w:color w:val="1A1A1A"/>
          <w:sz w:val="22"/>
        </w:rPr>
        <w:t>：今日无重要宏观数据发布，但需留意盘中是否有降准降息预期发酵（LPR连续14个月不变+PMI破荣枯线），若消息落空可能加剧回落；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外部联动观察</w:t>
      </w:r>
      <w:r>
        <w:rPr>
          <w:rFonts w:ascii="微软雅黑" w:hAnsi="微软雅黑" w:eastAsia="微软雅黑"/>
          <w:color w:val="1A1A1A"/>
          <w:sz w:val="22"/>
        </w:rPr>
        <w:t>：纳指大涨对A股科技板块的映射有限，若A50期货开盘未跟随上涨，则高开幅度受限，回归震荡概率大。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关键位置：指数若高开无法突破昨日横盘区间上沿，则视为弱势反弹，不宜追高；反之若放量站稳，则需观察量价能否持续。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