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盘前简报</w:t>
      </w:r>
    </w:p>
    <w:p>
      <w:pPr>
        <w:jc w:val="center"/>
      </w:pPr>
      <w:r>
        <w:rPr>
          <w:color w:val="8B949E"/>
          <w:sz w:val="20"/>
        </w:rPr>
        <w:t>2026-08-13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3946.30</w:t>
            </w:r>
          </w:p>
        </w:tc>
        <w:tc>
          <w:tcPr>
            <w:tcW w:type="dxa" w:w="2160"/>
          </w:tcPr>
          <w:p>
            <w:r>
              <w:t>-0.01%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14414.43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3602.08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1736.99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4690.07</w:t>
            </w:r>
          </w:p>
        </w:tc>
        <w:tc>
          <w:tcPr>
            <w:tcW w:type="dxa" w:w="2160"/>
          </w:tcPr>
          <w:p>
            <w:r>
              <w:t>-0.02%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8045.31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一、隔夜传导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权重指数加速下跌、成长指数涨势衰竭，隔夜纳指+0.54%的提振作用有限。较上一时段，上证指数-0.01%（-0.38pp，加速下跌）、沪深300 -0.02%（-0.65pp，加速下跌），而深证成指、创业板指、科创50、中证500涨幅全部归零（分别-1.10/-1.50/-1.61/-0.98pp），显示成长端动能衰竭、权重端抛压加重，属于动能衰竭而非趋势反转。隔夜美股纳斯达克小幅收涨0.54%，但富时A50期货数据缺失，无法直接验证外资风险偏好；结合昨日收盘板块快速轮动（玻璃延续，船舶制造、传媒娱乐新进），预计A股今日开盘或平开/小幅高开，但反弹持续性存疑，若开盘后上证指数不能快速收复平盘，则弱势延续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昨日收盘各指数较昨日同期几乎横盘，说明市场已进入多空平衡，隔夜外盘的小幅上涨难以打破僵局。需重点关注开盘后30分钟量能是否配合——若指数上冲但成交额未同步放大，则视为诱多，弱势震荡格局将延续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二、今日关注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本时段核心变化是宏观“弱现实”与盘面“弱预期”共振：7月CPI仅0.5%（前值1.0%）、PPI 3.5%（前值4.1%）、制造业PMI 49.2跌破荣枯线，基本面向上弹性不足；而指数边际变化显示权重加速下跌、成长涨势衰竭，量价关系偏弱。量化视角下今日关注：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关键位置</w:t>
      </w:r>
      <w:r>
        <w:rPr>
          <w:rFonts w:ascii="微软雅黑" w:hAnsi="微软雅黑" w:eastAsia="微软雅黑"/>
          <w:color w:val="1A1A1A"/>
          <w:sz w:val="22"/>
        </w:rPr>
        <w:t>：上证指数若低开或开盘后快速跌破昨日低点区域，则较上一时段加速下跌可能演化为趋势性回落；深成指/创业板指若不能收复昨日平盘，警惕补跌风险。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板块风险</w:t>
      </w:r>
      <w:r>
        <w:rPr>
          <w:rFonts w:ascii="微软雅黑" w:hAnsi="微软雅黑" w:eastAsia="微软雅黑"/>
          <w:color w:val="1A1A1A"/>
          <w:sz w:val="22"/>
        </w:rPr>
        <w:t>：玻璃行业虽延续，但船舶制造、传媒娱乐新进，领涨板块持续性差，市场宽度较低，今日避免追高轮动板块。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资金与流动性</w:t>
      </w:r>
      <w:r>
        <w:rPr>
          <w:rFonts w:ascii="微软雅黑" w:hAnsi="微软雅黑" w:eastAsia="微软雅黑"/>
          <w:color w:val="1A1A1A"/>
          <w:sz w:val="22"/>
        </w:rPr>
        <w:t>：LPR连续14个月不变、商业银行净息差1.4%历史低位，货币宽松空间受限；M1-M2剪刀差-4.0pp显示企业活期资金不足，不利于风险偏好提升。若北向成交总额开盘半小时低于100亿，则外资观望、内资主导，反弹力度有限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数据日历</w:t>
      </w:r>
      <w:r>
        <w:rPr>
          <w:rFonts w:ascii="微软雅黑" w:hAnsi="微软雅黑" w:eastAsia="微软雅黑"/>
          <w:color w:val="1A1A1A"/>
          <w:sz w:val="22"/>
        </w:rPr>
        <w:t>：今日无重磅宏观数据发布，但需警惕盘中量价背离——若指数上行而成交额未同步放大，则视为诱多信号。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整体判断：当前走势处于动能衰竭阶段，未现趋势反转信号。建议控制仓位，等待权重止跌和成长重新放量信号；若上证指数放量跌破前低，需转为防御。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