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3969.63</w:t>
            </w:r>
          </w:p>
        </w:tc>
        <w:tc>
          <w:tcPr>
            <w:tcW w:type="dxa" w:w="2160"/>
          </w:tcPr>
          <w:p>
            <w:r>
              <w:t>+0.44%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13933.69</w:t>
            </w:r>
          </w:p>
        </w:tc>
        <w:tc>
          <w:tcPr>
            <w:tcW w:type="dxa" w:w="2160"/>
          </w:tcPr>
          <w:p>
            <w:r>
              <w:t>-0.14%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3410.98</w:t>
            </w:r>
          </w:p>
        </w:tc>
        <w:tc>
          <w:tcPr>
            <w:tcW w:type="dxa" w:w="2160"/>
          </w:tcPr>
          <w:p>
            <w:r>
              <w:t>-0.39%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1662.24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4604.88</w:t>
            </w:r>
          </w:p>
        </w:tc>
        <w:tc>
          <w:tcPr>
            <w:tcW w:type="dxa" w:w="2160"/>
          </w:tcPr>
          <w:p>
            <w:r>
              <w:t>-0.09%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7893.39</w:t>
            </w:r>
          </w:p>
        </w:tc>
        <w:tc>
          <w:tcPr>
            <w:tcW w:type="dxa" w:w="2160"/>
          </w:tcPr>
          <w:p>
            <w:r>
              <w:t>-0.03%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38.3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23.73 亿  |  大单净 23.6 亿  |  涨家 23 / 跌家 7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</w:t>
      </w:r>
      <w:r>
        <w:rPr>
          <w:rFonts w:ascii="微软雅黑" w:hAnsi="微软雅黑" w:eastAsia="微软雅黑"/>
          <w:b/>
          <w:color w:val="D29922"/>
          <w:sz w:val="22"/>
        </w:rPr>
        <w:t>上证加速上涨后午盘横向整理，量能未续增，深市反弹动能暂歇。</w:t>
      </w:r>
      <w:r>
        <w:rPr>
          <w:rFonts w:ascii="微软雅黑" w:hAnsi="微软雅黑" w:eastAsia="微软雅黑"/>
          <w:color w:val="1A1A1A"/>
          <w:sz w:val="22"/>
        </w:rPr>
        <w:t>较上一时段（11:31），上证指数继续维持+0.44%，未再上台阶；深证成指-0.14%、创业板指-0.39%、沪深300-0.09%、中证500-0.03%，均与上一时段持平，显示11:31录得的“跌幅收窄/反弹”在午盘进入横盘消化阶段。成交额16544亿，与上一时段持平，</w:t>
      </w:r>
      <w:r>
        <w:rPr>
          <w:rFonts w:ascii="微软雅黑" w:hAnsi="微软雅黑" w:eastAsia="微软雅黑"/>
          <w:b/>
          <w:color w:val="D29922"/>
          <w:sz w:val="22"/>
        </w:rPr>
        <w:t>放量脉冲告一段落</w:t>
      </w:r>
      <w:r>
        <w:rPr>
          <w:rFonts w:ascii="微软雅黑" w:hAnsi="微软雅黑" w:eastAsia="微软雅黑"/>
          <w:color w:val="1A1A1A"/>
          <w:sz w:val="22"/>
        </w:rPr>
        <w:t>。上涨家数686/下跌304，涨跌比69%，市场宽度仍偏暖但未进一步扩张。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定性判断：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——指数不再创新高/新低修复，量能未同步放大，属于上涨后的消化蓄势，而非趋势反转。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沪深300成交额约4489.7亿，两市总成交16544亿，</w:t>
      </w:r>
      <w:r>
        <w:rPr>
          <w:rFonts w:ascii="微软雅黑" w:hAnsi="微软雅黑" w:eastAsia="微软雅黑"/>
          <w:b/>
          <w:color w:val="D29922"/>
          <w:sz w:val="22"/>
        </w:rPr>
        <w:t>权重占比约27.1%</w:t>
      </w:r>
      <w:r>
        <w:rPr>
          <w:rFonts w:ascii="微软雅黑" w:hAnsi="微软雅黑" w:eastAsia="微软雅黑"/>
          <w:color w:val="1A1A1A"/>
          <w:sz w:val="22"/>
        </w:rPr>
        <w:t>，远低于70%虹吸警戒线，说明资金并未集中涌入大票，权重防御性不强，反而题材环节活跃度更高。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上证强于深证的剪刀差未进一步扩大，但创业板、中证500午后均未回到平盘上方，深市反弹缺乏量能匹配，量价背离风险上升。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结构上，传媒娱乐领涨（芒果超媒、中文在线、华策影视等多股涨停），次新股、陶瓷、家具、飞机制造等小体量板块跟随翻红；酿酒、有色金属、生物制药、船舶制造领跌。资金偏好从早盘的权重金融/稳定类扩散至题材传媒，属于</w:t>
      </w:r>
      <w:r>
        <w:rPr>
          <w:rFonts w:ascii="微软雅黑" w:hAnsi="微软雅黑" w:eastAsia="微软雅黑"/>
          <w:b/>
          <w:color w:val="D29922"/>
          <w:sz w:val="22"/>
        </w:rPr>
        <w:t>进攻性题材轮动而非防御性抱团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大单/特大单资金净流入23.7亿（样本30只），23只流入/7只流出，大资金方向偏多，但绝对量级不大，属温和回流而非强力做多。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外部联动共识分数-1.8，置信度“分歧”，三个原始信号中恒生指数-0.38%、恒生科技-0.29%、离岸人民币-0.14%。</w:t>
      </w:r>
      <w:r>
        <w:rPr>
          <w:rFonts w:ascii="微软雅黑" w:hAnsi="微软雅黑" w:eastAsia="微软雅黑"/>
          <w:b/>
          <w:color w:val="D29922"/>
          <w:sz w:val="22"/>
        </w:rPr>
        <w:t>我的复核：Python预判基本合理，但权重信号偏弱，不宜作为有效方向依据</w:t>
      </w:r>
      <w:r>
        <w:rPr>
          <w:rFonts w:ascii="微软雅黑" w:hAnsi="微软雅黑" w:eastAsia="微软雅黑"/>
          <w:color w:val="1A1A1A"/>
          <w:sz w:val="22"/>
        </w:rPr>
        <w:t>。三个指标跌幅均未超0.5%，离岸人民币升值方向甚至与港股下跌方向相悖，属于典型“分歧”状态，外部方向不清晰。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南向资金净买入38.26亿（沪市25.43亿/深市12.83亿），较上一时段增加3.2亿，</w:t>
      </w:r>
      <w:r>
        <w:rPr>
          <w:rFonts w:ascii="微软雅黑" w:hAnsi="微软雅黑" w:eastAsia="微软雅黑"/>
          <w:b/>
          <w:color w:val="D29922"/>
          <w:sz w:val="22"/>
        </w:rPr>
        <w:t>内资持续南下，A股短线资金被分流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南向大额净买入+港股走弱 = 内资借道南下而非外资主导，与外部联动背离，验证“以内盘量价为主”的判断。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离岸人民币6.7211、在岸人民币6.722，双双小幅升值（USD/CNY下跌），中期流动性预期偏暖，但盘中信号太弱，不足以改变日内结构。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结论：</w:t>
      </w:r>
      <w:r>
        <w:rPr>
          <w:rFonts w:ascii="微软雅黑" w:hAnsi="微软雅黑" w:eastAsia="微软雅黑"/>
          <w:b/>
          <w:color w:val="D29922"/>
          <w:sz w:val="22"/>
        </w:rPr>
        <w:t>外部联动不具备明确指向性，维持内盘量价为主框架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涨跌比69%（686/304），未出现连续极端偏多（&gt;80%）或极端偏空（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20%）状态，市场宽度正常波动，不存在过度亢奋或恐慌。涨停26家/跌停3家，</w:t>
      </w:r>
      <w:r>
        <w:rPr>
          <w:rFonts w:ascii="微软雅黑" w:hAnsi="微软雅黑" w:eastAsia="微软雅黑"/>
          <w:b/>
          <w:color w:val="D29922"/>
          <w:sz w:val="22"/>
        </w:rPr>
        <w:t>涨停家数温和，跌停极少，风险偏好仍偏暖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涨停股表现、昨日连板高度等数据暂缺，方向反转评估需1个交易日数据积累后生效。当前不存在连板梯队溃散或高位股集体杀跌的明显证据，持续性中性偏弱——午后缺乏增量资金承接，题材轮动速度偏快，赚钱效应集中在传媒少数方向，整体行情持续性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 **红灯**：暂无触发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 **黄灯**（观望信号）：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南向净买入38亿超30亿阈值（内资持续南下），A股短线活跃资金被分流。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外部方向分歧（score=-1.8），恒生/恒生科技/离岸人民币信号互相矛盾，外盘无明确指引。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板块轮动加速，主线仅传媒独强，酿酒、有色等传统权重走弱，追涨容错率低。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 **绿灯**（进攻信号）：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涨跌比69%偏暖，跌停仅3家，市场无明显恐慌情绪。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大单/特大单资金净流入23.7亿，大资金方向偏多，但量级有限。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综合评估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黄灯偏多</w:t>
      </w:r>
      <w:r>
        <w:rPr>
          <w:rFonts w:ascii="微软雅黑" w:hAnsi="微软雅黑" w:eastAsia="微软雅黑"/>
          <w:color w:val="1A1A1A"/>
          <w:sz w:val="22"/>
        </w:rPr>
        <w:t>——指数高位横盘、量能未续增、内外资信号扭曲，不宜追高，但市场宽度健康，持仓者可继续持有观察，空仓者等待放量再考虑加仓。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