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2026-08-28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3956.53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14048.88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3473.35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1693.48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4629.65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7946.33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本时段核心变化是隔夜美股科技反弹与A股自身动能衰竭形成背离，需警惕高开兑现而非趋势反转。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隔夜纳斯达克收涨1.57%，对A股创业板、科创50等科技成长方向有正向映射；但昨日盘面科创50较上一时段涨势快速衰竭3.8pp、中证500涨势衰竭2.3pp，且板块快速轮动（领涨板块完全替换，船舶制造、传媒娱乐、玻璃行业接替原领涨），显示内生动能已明显退潮。富时A50期货数据缺失，无法验证外资开盘方向，因此隔夜利好更可能以高开兑现，冲高乏力概率较大，不宜盲目追高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本时段核心变化是宏观基本面偏弱叠加流动性未进一步宽松，指数处于动能衰竭后的方向选择窗口。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7月CPI同比回落至0.5%、PPI回落至3.5%，制造业PMI 49.2跌破荣枯线，社融增量同比少增8,606亿元，显示内需修复仍弱；LPR连续14个月不变，商业银行净息差1.4%处历史最低，制约短期降息空间，政策强刺激预期短期落空。昨日指数全线横盘、涨势普遍衰竭（上证较上一时段-1.16pp、创业板-1.72pp、科创50-3.81pp），板块快速轮动说明市场缺乏持续性主线，量化视角下赚钱效应正在收缩。今日需重点观察：①开盘后量能能否有效放大，若缩量冲高则视为反抽而非反转；②科创50与中证500能否止跌企稳，若继续走弱则确认趋势反转风险；③领涨板块持续性，若再度切换则进一步印证资金博弈加剧。关键位置参考昨日收盘价：收复则动能修复，失守则调整压力加大。数据日历方面，关注8/31官方制造业PMI发布，可能提前引发避险情绪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