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3964.89</w:t>
            </w:r>
          </w:p>
        </w:tc>
        <w:tc>
          <w:tcPr>
            <w:tcW w:type="dxa" w:w="2160"/>
          </w:tcPr>
          <w:p>
            <w:r>
              <w:t>+0.58%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13695.92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3335.50</w:t>
            </w:r>
          </w:p>
        </w:tc>
        <w:tc>
          <w:tcPr>
            <w:tcW w:type="dxa" w:w="2160"/>
          </w:tcPr>
          <w:p>
            <w:r>
              <w:t>+0.69%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1610.01</w:t>
            </w:r>
          </w:p>
        </w:tc>
        <w:tc>
          <w:tcPr>
            <w:tcW w:type="dxa" w:w="2160"/>
          </w:tcPr>
          <w:p>
            <w:r>
              <w:t>-0.07%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4581.21</w:t>
            </w:r>
          </w:p>
        </w:tc>
        <w:tc>
          <w:tcPr>
            <w:tcW w:type="dxa" w:w="2160"/>
          </w:tcPr>
          <w:p>
            <w:r>
              <w:t>+0.63%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7772.55</w:t>
            </w:r>
          </w:p>
        </w:tc>
        <w:tc>
          <w:tcPr>
            <w:tcW w:type="dxa" w:w="2160"/>
          </w:tcPr>
          <w:p>
            <w:r>
              <w:t>+0.22%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41.7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28.46 亿  |  大单净 30.0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南向净卖出41.7亿 + 外部联动全面偏多 + 成交放量16.5%</w:t>
      </w:r>
      <w:r>
        <w:rPr>
          <w:rFonts w:ascii="微软雅黑" w:hAnsi="微软雅黑" w:eastAsia="微软雅黑"/>
          <w:color w:val="1A1A1A"/>
          <w:sz w:val="22"/>
        </w:rPr>
        <w:t>，形成“内资回流A股、外资风险偏好回升、量能配合”的三重共振。开盘1小时A股普涨格局显著，上证、深成指、创业板较上一时段均加速上行，仅科创50逆势微跌，市场呈“权重搭台、消费领跑、科技分化”特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：上涨776家 / 下跌211家 / 平盘13家，上涨占比77.6%，涨停5家、跌停0家。市场宽度健康，但涨停仅5家，说明今日是普涨而非题材爆发型行情，赚钱效应温和。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：9405亿，较昨日同期放量16.5%。放量幅度可观，但需注意开盘1小时的量能更多反映情绪脉冲，午后是否持续是关键。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南向资金（外资监测核心反向指标）</w:t>
      </w:r>
      <w:r>
        <w:rPr>
          <w:rFonts w:ascii="微软雅黑" w:hAnsi="微软雅黑" w:eastAsia="微软雅黑"/>
          <w:color w:val="1A1A1A"/>
          <w:sz w:val="22"/>
        </w:rPr>
        <w:t>：港股通净卖出</w:t>
      </w:r>
      <w:r>
        <w:rPr>
          <w:rFonts w:ascii="微软雅黑" w:hAnsi="微软雅黑" w:eastAsia="微软雅黑"/>
          <w:b/>
          <w:color w:val="D29922"/>
          <w:sz w:val="22"/>
        </w:rPr>
        <w:t>-41.66亿</w:t>
      </w:r>
      <w:r>
        <w:rPr>
          <w:rFonts w:ascii="微软雅黑" w:hAnsi="微软雅黑" w:eastAsia="微软雅黑"/>
          <w:color w:val="1A1A1A"/>
          <w:sz w:val="22"/>
        </w:rPr>
        <w:t>，其中沪市港股通-25.68亿、深市港股通-15.98亿。南向大幅净卖出=内资回流A股，A股情绪偏强。较昨日同期（+25.9亿净买入）出现约68亿的巨幅反转，这是一个显著的边际变化信号。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+2.05%、恒生科技+2.64%、离岸人民币6.7162（升值）。三者方向一致偏多，外部共识得分升至6.0（中等置信度），较上一时段明显加强。结合南向净卖出，内外资方向首次形成“共同看多A股”的共振结构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：酿酒行业+2.07%高居榜首，古越龙山、会稽山、湘财股份等多股涨停，属典型的防御性消费+低估值修复逻辑。船舶制造（延续上一时段强势）、陶瓷行业（较上一时段新进）亦有表现。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：有色金属-0.18%、煤炭行业-0.10%，前期资源品高位震荡加剧，显示资金从顺周期板块向消费、传媒等避险方向迁移。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轮动信号</w:t>
      </w:r>
      <w:r>
        <w:rPr>
          <w:rFonts w:ascii="微软雅黑" w:hAnsi="微软雅黑" w:eastAsia="微软雅黑"/>
          <w:color w:val="1A1A1A"/>
          <w:sz w:val="22"/>
        </w:rPr>
        <w:t>：酿酒、陶瓷新进领涨榜，有色金属转弱，板块快速轮动特征明显。驱动因素主要是CPI回落背景下消费板块具备“低估值+确定性”吸引力，叠加传媒娱乐+0.27%的活跃，市场主线尚不清晰。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：3964.89点，从开盘3955.55附近直接拉起，较上一时段+0.58pp加速。指数逼近3970-4000的前期密集压力区，若放量突破则打开上行空间，否则需警惕冲高回落。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 / 创业板指</w:t>
      </w:r>
      <w:r>
        <w:rPr>
          <w:rFonts w:ascii="微软雅黑" w:hAnsi="微软雅黑" w:eastAsia="微软雅黑"/>
          <w:color w:val="1A1A1A"/>
          <w:sz w:val="22"/>
        </w:rPr>
        <w:t>：均加速上行，创业板+0.69%领跑，但涨幅绝对幅度不大，仍属温和反弹而非趋势性突破。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：-0.07%独立性最强，与创业板分化明显。半导体类个股如国科微-8.6%、浪潮信息-7.8%大跌，说明资金避高就低，对高估值科技成长构成抛压。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：指数的加速上涨伴随放量16.5%，量价配合健康，短线动能仍有延续空间。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：南向净卖出41.7亿对A股是正面信号，但若未来时段南向转向净买入，则需警惕A股情绪反转。外部联动偏多且边际增强（共识得分+4.8），外资风险偏好处于修复通道。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：77.6%的上涨占比+涨停5家/跌停0家，显示做多情绪占优但缺龙头板块引领。涨停数量偏少，说明资金在普涨中并没有集中攻击某一赛道，短期可能以补涨和轮动为主。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量价背离检测</w:t>
      </w:r>
      <w:r>
        <w:rPr>
          <w:rFonts w:ascii="微软雅黑" w:hAnsi="微软雅黑" w:eastAsia="微软雅黑"/>
          <w:color w:val="1A1A1A"/>
          <w:sz w:val="22"/>
        </w:rPr>
        <w:t>：无显著量价背离。但需注意科创50在沪指创新高逆势下跌，量价结构上存在“主板上行、科创钝化”的隐患，可能预示着高位科技股的风险释放。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CPI（2026年7月）</w:t>
      </w:r>
      <w:r>
        <w:rPr>
          <w:rFonts w:ascii="微软雅黑" w:hAnsi="微软雅黑" w:eastAsia="微软雅黑"/>
          <w:color w:val="1A1A1A"/>
          <w:sz w:val="22"/>
        </w:rPr>
        <w:t>：同比+0.5%，回落0.5个百分点，主因汽油降价10.7%。消费品价格走弱支撑了今日酿酒等消费板块的估值修复预期——市场在寻找CPI低位下的确定性收益。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PPI（2026年7月）</w:t>
      </w:r>
      <w:r>
        <w:rPr>
          <w:rFonts w:ascii="微软雅黑" w:hAnsi="微软雅黑" w:eastAsia="微软雅黑"/>
          <w:color w:val="1A1A1A"/>
          <w:sz w:val="22"/>
        </w:rPr>
        <w:t>：同比+3.5%，回落0.6个百分点，有色矿采选业仍涨22.6%。PPI走低可能拖累上游资源品情绪，印证今日有色金属、煤炭领跌。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PMI（2026年7月）</w:t>
      </w:r>
      <w:r>
        <w:rPr>
          <w:rFonts w:ascii="微软雅黑" w:hAnsi="微软雅黑" w:eastAsia="微软雅黑"/>
          <w:color w:val="1A1A1A"/>
          <w:sz w:val="22"/>
        </w:rPr>
        <w:t>：制造业49.2，跌破荣枯线。实体偏弱反向强化了流动性宽松预期，对A股构成间接支撑，但也给周期板块带来压制。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流动性环境</w:t>
      </w:r>
      <w:r>
        <w:rPr>
          <w:rFonts w:ascii="微软雅黑" w:hAnsi="微软雅黑" w:eastAsia="微软雅黑"/>
          <w:color w:val="1A1A1A"/>
          <w:sz w:val="22"/>
        </w:rPr>
        <w:t>：LPR连续14个月维持不变（1年3.0%/5年3.5%），7天逆回购1.4%，商业银行净息差处于历史低位1.4%。宽松预期仍存，但政策利率调整空间受限，A股短期更依赖风险偏好修复而非流动性大幅宽松。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南向资金反转风险</w:t>
      </w:r>
      <w:r>
        <w:rPr>
          <w:rFonts w:ascii="微软雅黑" w:hAnsi="微软雅黑" w:eastAsia="微软雅黑"/>
          <w:color w:val="1A1A1A"/>
          <w:sz w:val="22"/>
        </w:rPr>
        <w:t>：当前南向净卖出41.7亿的支撑若在午后转为大额净买入，将直接压制A股情绪，需密切跟踪14:00后的南向数据变化。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科创50的独立下跌</w:t>
      </w:r>
      <w:r>
        <w:rPr>
          <w:rFonts w:ascii="微软雅黑" w:hAnsi="微软雅黑" w:eastAsia="微软雅黑"/>
          <w:color w:val="1A1A1A"/>
          <w:sz w:val="22"/>
        </w:rPr>
        <w:t>：在主盘普涨背景下，科技成长股逆势走弱，若扩散至创业板，可能引发冲高回落。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成交额持续性</w:t>
      </w:r>
      <w:r>
        <w:rPr>
          <w:rFonts w:ascii="微软雅黑" w:hAnsi="微软雅黑" w:eastAsia="微软雅黑"/>
          <w:color w:val="1A1A1A"/>
          <w:sz w:val="22"/>
        </w:rPr>
        <w:t>：开盘1小时9405亿的放量若午后明显缩量，则今日放量可能只是一次性脉冲，追高风险加大。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：酿酒、陶瓷、船舶领涨但缺乏明确产业逻辑支撑，快速轮动消耗资金效率，容易形成“一日游”行情。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