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盘前简报</w:t>
      </w:r>
    </w:p>
    <w:p>
      <w:pPr>
        <w:jc w:val="center"/>
      </w:pPr>
      <w:r>
        <w:rPr>
          <w:color w:val="8B949E"/>
          <w:sz w:val="20"/>
        </w:rPr>
        <w:t>2026-08-03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3809.95</w:t>
            </w:r>
          </w:p>
        </w:tc>
        <w:tc>
          <w:tcPr>
            <w:tcW w:type="dxa" w:w="2160"/>
          </w:tcPr>
          <w:p>
            <w:r>
              <w:t>-0.58%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13515.72</w:t>
            </w:r>
          </w:p>
        </w:tc>
        <w:tc>
          <w:tcPr>
            <w:tcW w:type="dxa" w:w="2160"/>
          </w:tcPr>
          <w:p>
            <w:r>
              <w:t>-0.47%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3311.80</w:t>
            </w:r>
          </w:p>
        </w:tc>
        <w:tc>
          <w:tcPr>
            <w:tcW w:type="dxa" w:w="2160"/>
          </w:tcPr>
          <w:p>
            <w:r>
              <w:t>-0.96%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1578.04</w:t>
            </w:r>
          </w:p>
        </w:tc>
        <w:tc>
          <w:tcPr>
            <w:tcW w:type="dxa" w:w="2160"/>
          </w:tcPr>
          <w:p>
            <w:r>
              <w:t>-3.54%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4556.51</w:t>
            </w:r>
          </w:p>
        </w:tc>
        <w:tc>
          <w:tcPr>
            <w:tcW w:type="dxa" w:w="2160"/>
          </w:tcPr>
          <w:p>
            <w:r>
              <w:t>-0.69%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7446.96</w:t>
            </w:r>
          </w:p>
        </w:tc>
        <w:tc>
          <w:tcPr>
            <w:tcW w:type="dxa" w:w="2160"/>
          </w:tcPr>
          <w:p>
            <w:r>
              <w:t>-0.63%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宏观数据：</w:t>
      </w:r>
      <w:r>
        <w:t>CPI 1.0%  |  PPI 4.1%  |  PMI 49.2  |  M2 8.0%  |  LPR 1Y 3.0%</w:t>
      </w:r>
    </w:p>
    <w:p/>
    <w:p>
      <w:pPr>
        <w:pStyle w:val="Heading2"/>
      </w:pPr>
      <w:r>
        <w:t>量化分析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一、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隔夜纳斯达克反弹1.0%，为科技成长风格提供了情绪上的短暂暖意。然而，内部宏观数据（7月PMI全面跌破荣枯线）与外部暖风形成背离，市场核心矛盾从“预期博弈”转向“弱现实验证”。今日盘面将考验科技股反弹的成色以及稳增长板块的护盘力度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二、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PMI（重中之重）：</w:t>
      </w:r>
      <w:r>
        <w:rPr>
          <w:rFonts w:ascii="微软雅黑" w:hAnsi="微软雅黑" w:eastAsia="微软雅黑"/>
          <w:color w:val="1A1A1A"/>
          <w:sz w:val="22"/>
        </w:rPr>
        <w:t>7月制造业PMI 49.2，非制造业PMI 49.3。不仅是双收缩，且制造业绝对值已降至5个月低点。这直接证伪了经济强劲复苏的逻辑，市场将面临盈利预期下修的压力。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隔夜美股：</w:t>
      </w:r>
      <w:r>
        <w:rPr>
          <w:rFonts w:ascii="微软雅黑" w:hAnsi="微软雅黑" w:eastAsia="微软雅黑"/>
          <w:color w:val="1A1A1A"/>
          <w:sz w:val="22"/>
        </w:rPr>
        <w:t>纳斯达克指数收涨1.0%。这种反弹更多被视作技术性修复，而非趋势反转。其传导效应仅限于对A股相关科技板块（半导体、AI）开盘的情绪映射。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流动性：</w:t>
      </w:r>
      <w:r>
        <w:rPr>
          <w:rFonts w:ascii="微软雅黑" w:hAnsi="微软雅黑" w:eastAsia="微软雅黑"/>
          <w:color w:val="1A1A1A"/>
          <w:sz w:val="22"/>
        </w:rPr>
        <w:t>M2同比增8.0%，M1仅增4.0%（M2-M1剪刀差扩大），活钱活化意愿极低。LPR连续14个月不动，且受1.4%净息差极值约束，短期降息空间被封堵，流动性陷阱特征明显。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三、 板块热点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潜在领涨（高开）：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AI算力/光模块/半导体：</w:t>
      </w:r>
      <w:r>
        <w:rPr>
          <w:rFonts w:ascii="微软雅黑" w:hAnsi="微软雅黑" w:eastAsia="微软雅黑"/>
          <w:color w:val="1A1A1A"/>
          <w:sz w:val="22"/>
        </w:rPr>
        <w:t>纯粹受纳斯达克映射驱动，属于超跌反弹逻辑。若开盘冲高无量，极易出现“高开低走”的套人走势。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高技术制造业：</w:t>
      </w:r>
      <w:r>
        <w:rPr>
          <w:rFonts w:ascii="微软雅黑" w:hAnsi="微软雅黑" w:eastAsia="微软雅黑"/>
          <w:color w:val="1A1A1A"/>
          <w:sz w:val="22"/>
        </w:rPr>
        <w:t>7月PMI唯一亮点，逆势扩张至53.3%。资金可能会在该细分领域寻找避风港。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承压/规避方向：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顺周期/大宗商品：</w:t>
      </w:r>
      <w:r>
        <w:rPr>
          <w:rFonts w:ascii="微软雅黑" w:hAnsi="微软雅黑" w:eastAsia="微软雅黑"/>
          <w:color w:val="1A1A1A"/>
          <w:sz w:val="22"/>
        </w:rPr>
        <w:t>PPI虽同比增4.1%，但环比已转负（-0.3%），叠加PMI收缩，补库逻辑终结。有色、化工、石油石化承压。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大消费/白酒：</w:t>
      </w:r>
      <w:r>
        <w:rPr>
          <w:rFonts w:ascii="微软雅黑" w:hAnsi="微软雅黑" w:eastAsia="微软雅黑"/>
          <w:color w:val="1A1A1A"/>
          <w:sz w:val="22"/>
        </w:rPr>
        <w:t>CPI仅1.0%，通缩压力下消费品提价逻辑不通，且社融数据反映居民端扩表意愿不强。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四、 技术信号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昨日主要指数极大概率已跌破关键均线支撑。在缩量环境下，任何日内反弹受制于5日均线压制。MACD指标在零轴下方死叉发散，绿柱放大，空头主控格局未改。日线级别RSI进入弱势区间但尚未极端，意味着下方仍有杀跌动能或阴跌空间。纳斯达克的反弹仅能改变开盘幅度，难以扭转A股自身的下行趋势结构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五、 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市场宽度：</w:t>
      </w:r>
      <w:r>
        <w:rPr>
          <w:rFonts w:ascii="微软雅黑" w:hAnsi="微软雅黑" w:eastAsia="微软雅黑"/>
          <w:color w:val="1A1A1A"/>
          <w:sz w:val="22"/>
        </w:rPr>
        <w:t>鉴于PMI全面走弱，昨日下跌家数大概率远超上涨家数，市场宽度指标极差。今日若因美股带动出现普遍高开，观察涨跌比修复情况，若无法快速修复至1.5:1以上，则为弱势反抽确认。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量价关系：</w:t>
      </w:r>
      <w:r>
        <w:rPr>
          <w:rFonts w:ascii="微软雅黑" w:hAnsi="微软雅黑" w:eastAsia="微软雅黑"/>
          <w:color w:val="1A1A1A"/>
          <w:sz w:val="22"/>
        </w:rPr>
        <w:t>7月社融增量同比大幅少增8,606亿元，存量同比仅增7.4%，存量博弈甚至减量博弈特征明显。无量反弹皆是“耍流氓”，今日若依然维持7,000亿以下成交额，任何拉升都应视为减仓信号。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资金流向：</w:t>
      </w:r>
      <w:r>
        <w:rPr>
          <w:rFonts w:ascii="微软雅黑" w:hAnsi="微软雅黑" w:eastAsia="微软雅黑"/>
          <w:color w:val="1A1A1A"/>
          <w:sz w:val="22"/>
        </w:rPr>
        <w:t>关注北上资金开盘10分钟后的动作。若出现“买预期（美股涨）卖事实（PMI差）”的资金流出，则指数日内回调概率大增。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六、 宏观背景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当前处于典型的“弱宏观，稳货币”阶段。PMI双杀确认经济动能衰减，CPI低迷指向需求不足，PPI环比下行暗示企业利润空间被压缩。M2虽维持高增速，但在净息差历史低位的限制下，无法通过降息传导至实体。社会融资规模增量的大幅回落，显示信用扩张受阻。这决定了市场没有指数级行情的基础，只有存量资金在极少数景气细分（如高技术制造）中的抱团取暖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七、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高开低走风险：</w:t>
      </w:r>
      <w:r>
        <w:rPr>
          <w:rFonts w:ascii="微软雅黑" w:hAnsi="微软雅黑" w:eastAsia="微软雅黑"/>
          <w:color w:val="1A1A1A"/>
          <w:sz w:val="22"/>
        </w:rPr>
        <w:t>极差的PMI数据与隔夜美股反弹严重冲突，极易造成机构利用高开兑现筹码。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流动性陷阱：</w:t>
      </w:r>
      <w:r>
        <w:rPr>
          <w:rFonts w:ascii="微软雅黑" w:hAnsi="微软雅黑" w:eastAsia="微软雅黑"/>
          <w:color w:val="1A1A1A"/>
          <w:sz w:val="22"/>
        </w:rPr>
        <w:t>M2-社融与M2-M1剪刀差均不乐观，金融市场流动性充裕，但实体与股市缺乏增量活水，谨防阴跌。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汇率扰动：</w:t>
      </w:r>
      <w:r>
        <w:rPr>
          <w:rFonts w:ascii="微软雅黑" w:hAnsi="微软雅黑" w:eastAsia="微软雅黑"/>
          <w:color w:val="1A1A1A"/>
          <w:sz w:val="22"/>
        </w:rPr>
        <w:t>中美利差倒挂及经济基本面分化，可能引发汇率波动，进而压制外资重仓股（如白酒、新能源）的估值中枢。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