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2026-08-19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3923.58</w:t>
            </w:r>
          </w:p>
        </w:tc>
        <w:tc>
          <w:tcPr>
            <w:tcW w:type="dxa" w:w="2160"/>
          </w:tcPr>
          <w:p>
            <w:r>
              <w:t>-1.67%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14141.01</w:t>
            </w:r>
          </w:p>
        </w:tc>
        <w:tc>
          <w:tcPr>
            <w:tcW w:type="dxa" w:w="2160"/>
          </w:tcPr>
          <w:p>
            <w:r>
              <w:t>-3.29%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3551.21</w:t>
            </w:r>
          </w:p>
        </w:tc>
        <w:tc>
          <w:tcPr>
            <w:tcW w:type="dxa" w:w="2160"/>
          </w:tcPr>
          <w:p>
            <w:r>
              <w:t>-4.17%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1698.44</w:t>
            </w:r>
          </w:p>
        </w:tc>
        <w:tc>
          <w:tcPr>
            <w:tcW w:type="dxa" w:w="2160"/>
          </w:tcPr>
          <w:p>
            <w:r>
              <w:t>-5.16%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4630.15</w:t>
            </w:r>
          </w:p>
        </w:tc>
        <w:tc>
          <w:tcPr>
            <w:tcW w:type="dxa" w:w="2160"/>
          </w:tcPr>
          <w:p>
            <w:r>
              <w:t>-2.02%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7922.88</w:t>
            </w:r>
          </w:p>
        </w:tc>
        <w:tc>
          <w:tcPr>
            <w:tcW w:type="dxa" w:w="2160"/>
          </w:tcPr>
          <w:p>
            <w:r>
              <w:t>-3.11%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1.2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-1.54 亿  |  大单净 -0.88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本时段核心变化是：全板块无一飘红，涨跌比逼近极限（57涨/939跌），科创50领跌超5%，恐慌盘集中释放，动能仍处加速阶段。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开盘一小时后，A股呈现系统性抛售格局，六大指数全线重挫，且跌幅较上一时段（09:25）与昨日同期（2026-08-18 10:32）均显著扩大。科创50以-5.16%领跌，创业板指-4.17%，深证成指-3.29%，市场恐慌情绪在开盘后一小时内未得到任何有效承接，空头动能未现衰竭迹象。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全市场上涨57家、下跌939家、平盘4家，上涨比例仅5.7%，为极端弱势水平。涨停仅3家，跌停高达23家，跌停家数约为涨停的7.7倍，资金出逃意愿强烈。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上证半日成交额约5820亿元（开盘后一小时），深证约6310亿元，合计约1.21万亿元。较昨日同期明显放量，呈现典型的</w:t>
      </w:r>
      <w:r>
        <w:rPr>
          <w:rFonts w:ascii="微软雅黑" w:hAnsi="微软雅黑" w:eastAsia="微软雅黑"/>
          <w:b/>
          <w:color w:val="D29922"/>
          <w:sz w:val="22"/>
        </w:rPr>
        <w:t>放量下杀</w:t>
      </w:r>
      <w:r>
        <w:rPr>
          <w:rFonts w:ascii="微软雅黑" w:hAnsi="微软雅黑" w:eastAsia="微软雅黑"/>
          <w:color w:val="1A1A1A"/>
          <w:sz w:val="22"/>
        </w:rPr>
        <w:t>结构，非缩量阴跌，卖压真实且迫切。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外资监测（二维框架）：</w:t>
      </w:r>
      <w:r>
        <w:rPr>
          <w:rFonts w:ascii="微软雅黑" w:hAnsi="微软雅黑" w:eastAsia="微软雅黑"/>
          <w:color w:val="1A1A1A"/>
          <w:sz w:val="22"/>
        </w:rPr>
        <w:t>南向资金当日净买入</w:t>
      </w:r>
      <w:r>
        <w:rPr>
          <w:rFonts w:ascii="微软雅黑" w:hAnsi="微软雅黑" w:eastAsia="微软雅黑"/>
          <w:b/>
          <w:color w:val="D29922"/>
          <w:sz w:val="22"/>
        </w:rPr>
        <w:t>+1.2亿</w:t>
      </w:r>
      <w:r>
        <w:rPr>
          <w:rFonts w:ascii="微软雅黑" w:hAnsi="微软雅黑" w:eastAsia="微软雅黑"/>
          <w:color w:val="1A1A1A"/>
          <w:sz w:val="22"/>
        </w:rPr>
        <w:t>，较昨日同期的</w:t>
      </w:r>
      <w:r>
        <w:rPr>
          <w:rFonts w:ascii="微软雅黑" w:hAnsi="微软雅黑" w:eastAsia="微软雅黑"/>
          <w:b/>
          <w:color w:val="D29922"/>
          <w:sz w:val="22"/>
        </w:rPr>
        <w:t>-51.5亿</w:t>
      </w:r>
      <w:r>
        <w:rPr>
          <w:rFonts w:ascii="微软雅黑" w:hAnsi="微软雅黑" w:eastAsia="微软雅黑"/>
          <w:color w:val="1A1A1A"/>
          <w:sz w:val="22"/>
        </w:rPr>
        <w:t>大幅收窄，净流入趋近于零，方向信号微弱。分市场看，沪市港股通净买入+5.6亿，深市港股通净卖出-4.4亿，内资在港股方向上呈分裂格局，A股情绪既未获内资回流支撑，南向也未出现大幅抄底动作，指示意义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外部联动：</w:t>
      </w:r>
      <w:r>
        <w:rPr>
          <w:rFonts w:ascii="微软雅黑" w:hAnsi="微软雅黑" w:eastAsia="微软雅黑"/>
          <w:color w:val="1A1A1A"/>
          <w:sz w:val="22"/>
        </w:rPr>
        <w:t>恒生指数+0.18%（弱看多）、离岸人民币微升（中性）、恒生科技-0.88%（看空）。外部共识分数-0.9，置信度为“分歧”，四者未同向，信号不可靠。综合判断：</w:t>
      </w:r>
      <w:r>
        <w:rPr>
          <w:rFonts w:ascii="微软雅黑" w:hAnsi="微软雅黑" w:eastAsia="微软雅黑"/>
          <w:b/>
          <w:color w:val="D29922"/>
          <w:sz w:val="22"/>
        </w:rPr>
        <w:t>外部信号无法提供明确方向，当前走势以内盘量价为主导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行业板块无一上涨，市场不存在真正的资金聚集地，仅有“跌幅相对小”的防御型排序。跌幅最小的板块为家电（-0.15%）、传媒娱乐（-0.15%）、服装鞋类（-0.15%），这些属于低贝塔、防御性或现金流稳定的品种。跌幅居前的为次新股（-5.15%）、电子器件（-1.46%）、陶瓷行业（-1.02%）、机械行业（-0.83%）、飞机制造（-0.80%），半导体及高端制造链条集体走弱，与科创50领跌形成相互印证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板块轮动信号：</w:t>
      </w:r>
      <w:r>
        <w:rPr>
          <w:rFonts w:ascii="微软雅黑" w:hAnsi="微软雅黑" w:eastAsia="微软雅黑"/>
          <w:color w:val="1A1A1A"/>
          <w:sz w:val="22"/>
        </w:rPr>
        <w:t>对比昨日同期，领涨板块从农林牧渔、农药化肥、次新股，完全替换为家电、服装、传媒娱乐，</w:t>
      </w:r>
      <w:r>
        <w:rPr>
          <w:rFonts w:ascii="微软雅黑" w:hAnsi="微软雅黑" w:eastAsia="微软雅黑"/>
          <w:b/>
          <w:color w:val="D29922"/>
          <w:sz w:val="22"/>
        </w:rPr>
        <w:t>防守型板块也出现快速轮动</w:t>
      </w:r>
      <w:r>
        <w:rPr>
          <w:rFonts w:ascii="微软雅黑" w:hAnsi="微软雅黑" w:eastAsia="微软雅黑"/>
          <w:color w:val="1A1A1A"/>
          <w:sz w:val="22"/>
        </w:rPr>
        <w:t>，说明资金并未形成稳定的避险共识，而是在不同低波动板块之间反复试探，市场缺乏主线逻辑。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个股层面信号：</w:t>
      </w:r>
      <w:r>
        <w:rPr>
          <w:rFonts w:ascii="微软雅黑" w:hAnsi="微软雅黑" w:eastAsia="微软雅黑"/>
          <w:color w:val="1A1A1A"/>
          <w:sz w:val="22"/>
        </w:rPr>
        <w:t>涨幅榜呈现两极化特征——种业（农发种业、敦煌种业、秋乐种业）、黄金（山东黄金+6.7%）、煤炭（陕西黑猫、大有能源、郑州煤电）等防御性资源/农业股受追捧；跌幅榜则清一色为高估值次新股与硬科技标的，跌幅普遍在-11%至-16%之间。资金从高波动、高估值板块向低估值、资源类资产迁移的路径非常清晰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截至10:30，上证指数报3923.58点，跌破开盘价3952.12，形成小时级别的实体阴线，且跌破了3950附近的前期整理平台。较上一时段加速下跌1.67个百分点，较昨日同期亦扩大1.44个百分点，表明短期均线系统（5/10/20日）上方压力沉重，指数已脱离短期支撑区间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创业板指-4.17%，从开盘3605快速击穿至3551，小时级别跌幅接近4.5个点，已进入技术性恐慌区间。科创50-5.16%，创出自数据观察期以来的最大单小时跌幅，RSI大概率已跌入超卖区，但超卖不等于止跌，动能尚未出现底背驰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量价关系上，放量大阴线配合跌停家数扩张（23家），属于</w:t>
      </w:r>
      <w:r>
        <w:rPr>
          <w:rFonts w:ascii="微软雅黑" w:hAnsi="微软雅黑" w:eastAsia="微软雅黑"/>
          <w:b/>
          <w:color w:val="D29922"/>
          <w:sz w:val="22"/>
        </w:rPr>
        <w:t>量价向下共振</w:t>
      </w:r>
      <w:r>
        <w:rPr>
          <w:rFonts w:ascii="微软雅黑" w:hAnsi="微软雅黑" w:eastAsia="微软雅黑"/>
          <w:color w:val="1A1A1A"/>
          <w:sz w:val="22"/>
        </w:rPr>
        <w:t>，非缩量惜售。这种结构下，短线不宜轻言抄底，需等待跌停家数收敛至个位数、成交量萎缩后才有止跌可能。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市场宽度极差：</w:t>
      </w:r>
      <w:r>
        <w:rPr>
          <w:rFonts w:ascii="微软雅黑" w:hAnsi="微软雅黑" w:eastAsia="微软雅黑"/>
          <w:color w:val="1A1A1A"/>
          <w:sz w:val="22"/>
        </w:rPr>
        <w:t>上涨比例5.7%，处于历史极低分位，接近“普跌”阈值。但从历史经验看，宽度极端化往往出现在下跌中段而非末段，当上涨比例低于5%且跌停家数仍在扩张时，深跌反弹的可能性存在，但持续性通常较差。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量价关系：</w:t>
      </w:r>
      <w:r>
        <w:rPr>
          <w:rFonts w:ascii="微软雅黑" w:hAnsi="微软雅黑" w:eastAsia="微软雅黑"/>
          <w:color w:val="1A1A1A"/>
          <w:sz w:val="22"/>
        </w:rPr>
        <w:t>六大指数全部放量下跌，</w:t>
      </w:r>
      <w:r>
        <w:rPr>
          <w:rFonts w:ascii="微软雅黑" w:hAnsi="微软雅黑" w:eastAsia="微软雅黑"/>
          <w:b/>
          <w:color w:val="D29922"/>
          <w:sz w:val="22"/>
        </w:rPr>
        <w:t>量的确认</w:t>
      </w:r>
      <w:r>
        <w:rPr>
          <w:rFonts w:ascii="微软雅黑" w:hAnsi="微软雅黑" w:eastAsia="微软雅黑"/>
          <w:color w:val="1A1A1A"/>
          <w:sz w:val="22"/>
        </w:rPr>
        <w:t>极为充分，对空方有利。上证一小时成交5820亿，按此节奏全天有望突破2.3万亿，较昨日明显放大，筹码交换剧烈，资金以出为主线。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资金流向（大单估算）：</w:t>
      </w:r>
      <w:r>
        <w:rPr>
          <w:rFonts w:ascii="微软雅黑" w:hAnsi="微软雅黑" w:eastAsia="微软雅黑"/>
          <w:color w:val="1A1A1A"/>
          <w:sz w:val="22"/>
        </w:rPr>
        <w:t>新浪资金流样本显示大单净流出-0.88亿（样本局限，参考性有限），流入家数17/流出13，与全市场939家下跌形成鲜明对比，说明市场整体跌幅由散户与中小单主导，大单并未出现恐慌性抛售——但这可能意味着大型资金正在“被动持有”而非“主动护盘”，一旦后续大单转向，下跌斜率可能进一步陡峭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当前市场的急跌并非单一事件驱动，而是多重宏观逆风共振的结果：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PMI：</w:t>
      </w:r>
      <w:r>
        <w:rPr>
          <w:rFonts w:ascii="微软雅黑" w:hAnsi="微软雅黑" w:eastAsia="微软雅黑"/>
          <w:color w:val="1A1A1A"/>
          <w:sz w:val="22"/>
        </w:rPr>
        <w:t>7月制造业PMI 49.2，跌破荣枯线，为5个月最低，服务业PMI 49.3同步回落，需求收缩与生产淡季叠加，基本面支撑减弱。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CPI：</w:t>
      </w:r>
      <w:r>
        <w:rPr>
          <w:rFonts w:ascii="微软雅黑" w:hAnsi="微软雅黑" w:eastAsia="微软雅黑"/>
          <w:color w:val="1A1A1A"/>
          <w:sz w:val="22"/>
        </w:rPr>
        <w:t>7月CPI同比+0.5%，涨幅回落（前值1.0%），核心CPI仅0.9%，通缩压力仍然较大。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PPI：</w:t>
      </w:r>
      <w:r>
        <w:rPr>
          <w:rFonts w:ascii="微软雅黑" w:hAnsi="微软雅黑" w:eastAsia="微软雅黑"/>
          <w:color w:val="1A1A1A"/>
          <w:sz w:val="22"/>
        </w:rPr>
        <w:t>7月PPI同比+3.5%，较前值4.1%明显回落，输入性通胀因素（油价）在消退，但中下游利润空间继续承压。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流动性：</w:t>
      </w:r>
      <w:r>
        <w:rPr>
          <w:rFonts w:ascii="微软雅黑" w:hAnsi="微软雅黑" w:eastAsia="微软雅黑"/>
          <w:color w:val="1A1A1A"/>
          <w:sz w:val="22"/>
        </w:rPr>
        <w:t>M2同比8.0%，社融同比7.4%，增速温和但不足以形成强刺激。LPR连续14个月不变（1年3.0%，5年3.5%），商业银行净息差1.4%处于历史最低位，进一步让利空间有限，货币政策短期缺乏强催化。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PMI破线+CPI疲弱+PPI回落，构成了“基本面向下+流动性中性”的宏观组合，对权益市场估值构成持续压制。政策面上，LPR不动与净息差低位意味着短期降息空间受限，市场缺乏宏观对冲工具，指数只能通过价格下跌来完成估值出清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踩踏风险：</w:t>
      </w:r>
      <w:r>
        <w:rPr>
          <w:rFonts w:ascii="微软雅黑" w:hAnsi="微软雅黑" w:eastAsia="微软雅黑"/>
          <w:color w:val="1A1A1A"/>
          <w:sz w:val="22"/>
        </w:rPr>
        <w:t>科创50单小时跌幅5.16%、创业板跌4.17%，跌停家数23家且仍处扩张阶段，若午后无法收敛，可能触发融资盘及衍生品强平，形成自我强化的负反馈。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量价向下共振：</w:t>
      </w:r>
      <w:r>
        <w:rPr>
          <w:rFonts w:ascii="微软雅黑" w:hAnsi="微软雅黑" w:eastAsia="微软雅黑"/>
          <w:color w:val="1A1A1A"/>
          <w:sz w:val="22"/>
        </w:rPr>
        <w:t>放量大阴线+跌停扩张，市场尚未出现“缩量止跌”企稳信号，追空有惯性风险，抄底有被埋风险。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高估值板块出清：</w:t>
      </w:r>
      <w:r>
        <w:rPr>
          <w:rFonts w:ascii="微软雅黑" w:hAnsi="微软雅黑" w:eastAsia="微软雅黑"/>
          <w:color w:val="1A1A1A"/>
          <w:sz w:val="22"/>
        </w:rPr>
        <w:t>跌幅榜集中于次新股、半导体、机器人等前期高估值成长板块，估值收缩可能尚未结束，部分个股PE为负、PB异常高企（如N宇树PB高达112倍），风险仍未充分释放。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板块轮动加速：</w:t>
      </w:r>
      <w:r>
        <w:rPr>
          <w:rFonts w:ascii="微软雅黑" w:hAnsi="微软雅黑" w:eastAsia="微软雅黑"/>
          <w:color w:val="1A1A1A"/>
          <w:sz w:val="22"/>
        </w:rPr>
        <w:t>防守型板块（农业/家电/传媒）也在快速轮换，说明资金没有稳定避险方向，一旦轮动结束，市场可能进入“无差异杀跌”阶段。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免责声明：本报告由AI自动生成，仅供参考，不构成任何投资建议。投资有风险，入市需谨慎。报告数据来源于公开接口，不对其准确性做任何保证。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