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2026-09-07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3930.07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13516.97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3286.55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1577.36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4548.05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7652.56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收跌0.29%，跌幅温和，对A股风险偏好不构成实质性压制；科技权重调整或使A股成长板块开盘小幅低开，但传导幅度有限。富时A50期货数据未提供，无法据以判断外资隔夜方向；结合近期量价关系，A股更可能跟随自身节奏，关注开盘后15分钟成交额是否环比放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宏观层面，7月CPI同比0.5%（前值1.0%）、PPI同比3.5%（前值4.1%）、制造业PMI 49.2，三者同步走弱指向内需修复乏力，且M2同比8.0%与社融同比少增显示信用扩张偏弱，流动性对权益估值抬升的支撑有限。今日重点观察权重股能否带动指数放量突破，若成交额持续低于5日均量且涨跌比回落至1以下，则警惕冲高回落；板块上回避高估值科技题材，关注受益于PPI-CPI剪刀差收窄的中下游消费及公用事业防御方向，同时留意北向资金缺席背景下南向资金异动对情绪的扰动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