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2026-08-03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3816.04</w:t>
            </w:r>
          </w:p>
        </w:tc>
        <w:tc>
          <w:tcPr>
            <w:tcW w:type="dxa" w:w="2160"/>
          </w:tcPr>
          <w:p>
            <w:r>
              <w:t>-0.42%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13539.55</w:t>
            </w:r>
          </w:p>
        </w:tc>
        <w:tc>
          <w:tcPr>
            <w:tcW w:type="dxa" w:w="2160"/>
          </w:tcPr>
          <w:p>
            <w:r>
              <w:t>-0.29%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3322.45</w:t>
            </w:r>
          </w:p>
        </w:tc>
        <w:tc>
          <w:tcPr>
            <w:tcW w:type="dxa" w:w="2160"/>
          </w:tcPr>
          <w:p>
            <w:r>
              <w:t>-0.64%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1581.54</w:t>
            </w:r>
          </w:p>
        </w:tc>
        <w:tc>
          <w:tcPr>
            <w:tcW w:type="dxa" w:w="2160"/>
          </w:tcPr>
          <w:p>
            <w:r>
              <w:t>-3.33%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4563.84</w:t>
            </w:r>
          </w:p>
        </w:tc>
        <w:tc>
          <w:tcPr>
            <w:tcW w:type="dxa" w:w="2160"/>
          </w:tcPr>
          <w:p>
            <w:r>
              <w:t>-0.53%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7454.76</w:t>
            </w:r>
          </w:p>
        </w:tc>
        <w:tc>
          <w:tcPr>
            <w:tcW w:type="dxa" w:w="2160"/>
          </w:tcPr>
          <w:p>
            <w:r>
              <w:t>-0.52%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北向资金：净流出 30.68 亿</w:t>
      </w:r>
      <w:r>
        <w:t xml:space="preserve">  |  沪股通 -9.28 亿  |  数据源: hexin</w:t>
      </w:r>
    </w:p>
    <w:p>
      <w:r>
        <w:rPr>
          <w:b/>
        </w:rPr>
        <w:t>大资金方向（替代两融）：</w:t>
      </w:r>
      <w:r>
        <w:t>30 股聚合净流入 -23.04 亿  |  大单净 -25.66 亿  |  涨家 17 / 跌家 13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1.0%  |  PPI 4.1%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市场内部结构极端分化：以科创50（较上一时段跌幅收窄0.54pp至-3.33%）为代表的科技权重股重挫，但市场宽度高达69.1%的个股上涨，指数杀跌与个股普涨形成罕见背离。全日成交额放量至7507亿，放量下跌暗示多空分歧加大。北向资金全日净流出30.68亿，连续流出压制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