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 股量化报告 — 午后更新</w:t>
      </w:r>
    </w:p>
    <w:p>
      <w:pPr>
        <w:jc w:val="center"/>
      </w:pPr>
      <w:r>
        <w:rPr>
          <w:color w:val="8B949E"/>
          <w:sz w:val="20"/>
        </w:rPr>
        <w:t>2026-08-12  |  模型: DeepSeek  |  量化交易视角</w:t>
      </w:r>
    </w:p>
    <w:p>
      <w:pPr>
        <w:pStyle w:val="Heading2"/>
      </w:pPr>
      <w:r>
        <w:t>核心指标速览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指数</w:t>
            </w:r>
          </w:p>
        </w:tc>
        <w:tc>
          <w:tcPr>
            <w:tcW w:type="dxa" w:w="2160"/>
          </w:tcPr>
          <w:p>
            <w:r>
              <w:t>点位</w:t>
            </w:r>
          </w:p>
        </w:tc>
        <w:tc>
          <w:tcPr>
            <w:tcW w:type="dxa" w:w="2160"/>
          </w:tcPr>
          <w:p>
            <w:r>
              <w:t>涨跌幅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上证指数</w:t>
            </w:r>
          </w:p>
        </w:tc>
        <w:tc>
          <w:tcPr>
            <w:tcW w:type="dxa" w:w="2160"/>
          </w:tcPr>
          <w:p>
            <w:r>
              <w:t>3945.44</w:t>
            </w:r>
          </w:p>
        </w:tc>
        <w:tc>
          <w:tcPr>
            <w:tcW w:type="dxa" w:w="2160"/>
          </w:tcPr>
          <w:p>
            <w:r>
              <w:t>+0.29%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深证成指</w:t>
            </w:r>
          </w:p>
        </w:tc>
        <w:tc>
          <w:tcPr>
            <w:tcW w:type="dxa" w:w="2160"/>
          </w:tcPr>
          <w:p>
            <w:r>
              <w:t>14390.18</w:t>
            </w:r>
          </w:p>
        </w:tc>
        <w:tc>
          <w:tcPr>
            <w:tcW w:type="dxa" w:w="2160"/>
          </w:tcPr>
          <w:p>
            <w:r>
              <w:t>+0.92%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创业板指</w:t>
            </w:r>
          </w:p>
        </w:tc>
        <w:tc>
          <w:tcPr>
            <w:tcW w:type="dxa" w:w="2160"/>
          </w:tcPr>
          <w:p>
            <w:r>
              <w:t>3591.12</w:t>
            </w:r>
          </w:p>
        </w:tc>
        <w:tc>
          <w:tcPr>
            <w:tcW w:type="dxa" w:w="2160"/>
          </w:tcPr>
          <w:p>
            <w:r>
              <w:t>+1.18%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科创50</w:t>
            </w:r>
          </w:p>
        </w:tc>
        <w:tc>
          <w:tcPr>
            <w:tcW w:type="dxa" w:w="2160"/>
          </w:tcPr>
          <w:p>
            <w:r>
              <w:t>1727.19</w:t>
            </w:r>
          </w:p>
        </w:tc>
        <w:tc>
          <w:tcPr>
            <w:tcW w:type="dxa" w:w="2160"/>
          </w:tcPr>
          <w:p>
            <w:r>
              <w:t>+1.03%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沪深300</w:t>
            </w:r>
          </w:p>
        </w:tc>
        <w:tc>
          <w:tcPr>
            <w:tcW w:type="dxa" w:w="2160"/>
          </w:tcPr>
          <w:p>
            <w:r>
              <w:t>4688.41</w:t>
            </w:r>
          </w:p>
        </w:tc>
        <w:tc>
          <w:tcPr>
            <w:tcW w:type="dxa" w:w="2160"/>
          </w:tcPr>
          <w:p>
            <w:r>
              <w:t>+0.53%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中证500</w:t>
            </w:r>
          </w:p>
        </w:tc>
        <w:tc>
          <w:tcPr>
            <w:tcW w:type="dxa" w:w="2160"/>
          </w:tcPr>
          <w:p>
            <w:r>
              <w:t>8031.41</w:t>
            </w:r>
          </w:p>
        </w:tc>
        <w:tc>
          <w:tcPr>
            <w:tcW w:type="dxa" w:w="2160"/>
          </w:tcPr>
          <w:p>
            <w:r>
              <w:t>+0.80%</w:t>
            </w:r>
          </w:p>
        </w:tc>
        <w:tc>
          <w:tcPr>
            <w:tcW w:type="dxa" w:w="2160"/>
          </w:tcPr>
          <w:p>
            <w:r/>
          </w:p>
        </w:tc>
      </w:tr>
    </w:tbl>
    <w:p/>
    <w:p>
      <w:r>
        <w:rPr>
          <w:b/>
        </w:rPr>
        <w:t>外资监测</w:t>
      </w:r>
    </w:p>
    <w:p>
      <w:r>
        <w:t xml:space="preserve">  北向活跃度：成交 26800 亿（高活跃度）</w:t>
      </w:r>
    </w:p>
    <w:p>
      <w:r>
        <w:t xml:space="preserve">  沪/深偏好：沪市 41%（偏成长进攻）</w:t>
      </w:r>
    </w:p>
    <w:p>
      <w:r>
        <w:t xml:space="preserve">  南向资金：净卖出 15.6 亿（港股通，A股情绪反向指标）</w:t>
      </w:r>
      <w:r>
        <w:rPr>
          <w:color w:val="8B949E"/>
          <w:sz w:val="18"/>
        </w:rPr>
        <w:br/>
        <w:t xml:space="preserve">  注：北向净买入自2024年证监会新规后不再公开发布，方向由活跃度+南向+外部联动综合推断</w:t>
      </w:r>
    </w:p>
    <w:p>
      <w:r>
        <w:rPr>
          <w:b/>
        </w:rPr>
        <w:t>大资金方向（替代两融）：</w:t>
      </w:r>
      <w:r>
        <w:t>30 股聚合净流入 -31.31 亿  |  大单净 -32.8 亿  |  涨家 8 / 跌家 22</w:t>
      </w:r>
      <w:r>
        <w:rPr>
          <w:color w:val="8B949E"/>
          <w:sz w:val="18"/>
        </w:rPr>
        <w:br/>
        <w:t>注：数据来自新浪资金流（大单/特大单估算），非融资融券官方数据，仅供参考大资金方向</w:t>
      </w:r>
    </w:p>
    <w:p>
      <w:r>
        <w:rPr>
          <w:b/>
        </w:rPr>
        <w:t>宏观数据：</w:t>
      </w:r>
      <w:r>
        <w:t>CPI 0.5%  |  PPI 3.5%  |  PMI 49.2  |  M2 8.0%  |  LPR 1Y 3.0%</w:t>
      </w:r>
    </w:p>
    <w:p/>
    <w:p>
      <w:pPr>
        <w:pStyle w:val="Heading2"/>
      </w:pPr>
      <w:r>
        <w:t>量化分析</w:t>
      </w:r>
    </w:p>
    <w:p>
      <w:pPr>
        <w:pStyle w:val="Heading2"/>
      </w:pPr>
      <w:r>
        <w:rPr>
          <w:rFonts w:ascii="微软雅黑" w:hAnsi="微软雅黑" w:eastAsia="微软雅黑"/>
          <w:color w:val="1A1A1A"/>
          <w:sz w:val="22"/>
        </w:rPr>
        <w:t>模块一：边际速览</w:t>
      </w:r>
    </w:p>
    <w:p>
      <w:pPr>
        <w:spacing w:after="120"/>
      </w:pPr>
      <w:r>
        <w:rPr>
          <w:rFonts w:ascii="微软雅黑" w:hAnsi="微软雅黑" w:eastAsia="微软雅黑"/>
          <w:b/>
          <w:color w:val="D29922"/>
          <w:sz w:val="22"/>
        </w:rPr>
        <w:t>本时段核心变化是午后成交额急剧放大，但指数涨幅普遍收窄，量价背离迹象初现。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指数方向：动能衰竭。</w:t>
      </w:r>
      <w:r>
        <w:rPr>
          <w:rFonts w:ascii="微软雅黑" w:hAnsi="微软雅黑" w:eastAsia="微软雅黑"/>
          <w:color w:val="1A1A1A"/>
          <w:sz w:val="22"/>
        </w:rPr>
        <w:t>上证指数较上一时段涨幅缩小0.02个百分点，深证成指涨幅收窄0.33pp，科创50涨幅更是锐减1.05pp。午后市场呈现明显滞涨，追高意愿减弱。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量能：午后放量明显。</w:t>
      </w:r>
      <w:r>
        <w:rPr>
          <w:rFonts w:ascii="微软雅黑" w:hAnsi="微软雅黑" w:eastAsia="微软雅黑"/>
          <w:color w:val="1A1A1A"/>
          <w:sz w:val="22"/>
        </w:rPr>
        <w:t>全市场成交额达17495亿，较上午时段增加26.6%。成交急剧放大但指数涨幅未能同步扩大，形成午后量价背离，需警惕短期获利盘兑现。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涨跌比变化：市场宽度略微收缩。</w:t>
      </w:r>
      <w:r>
        <w:rPr>
          <w:rFonts w:ascii="微软雅黑" w:hAnsi="微软雅黑" w:eastAsia="微软雅黑"/>
          <w:color w:val="1A1A1A"/>
          <w:sz w:val="22"/>
        </w:rPr>
        <w:t>涨跌比78.3%（783涨/207跌），仍处高位。涨停家数仅11家，与近80%的涨跌比不匹配，表明普涨但缺乏强势主线，个股攻击力不足。</w:t>
      </w:r>
    </w:p>
    <w:p>
      <w:pPr>
        <w:pStyle w:val="Heading2"/>
      </w:pPr>
      <w:r>
        <w:rPr>
          <w:rFonts w:ascii="微软雅黑" w:hAnsi="微软雅黑" w:eastAsia="微软雅黑"/>
          <w:color w:val="1A1A1A"/>
          <w:sz w:val="22"/>
        </w:rPr>
        <w:t>模块二：量价结构</w:t>
      </w:r>
    </w:p>
    <w:p>
      <w:pPr>
        <w:spacing w:after="120"/>
      </w:pPr>
      <w:r>
        <w:rPr>
          <w:rFonts w:ascii="微软雅黑" w:hAnsi="微软雅黑" w:eastAsia="微软雅黑"/>
          <w:color w:val="1A1A1A"/>
          <w:sz w:val="22"/>
        </w:rPr>
        <w:t>午后资金从集中转向分散，权重股并未产生虹吸效应。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权重占比：无虹吸。</w:t>
      </w:r>
      <w:r>
        <w:rPr>
          <w:rFonts w:ascii="微软雅黑" w:hAnsi="微软雅黑" w:eastAsia="微软雅黑"/>
          <w:color w:val="1A1A1A"/>
          <w:sz w:val="22"/>
        </w:rPr>
        <w:t>沪深300成交额约4653亿，占两市成交总额（17495亿）的26.6%，远低于70%的警戒线。资金未单边流入大票，为中小盘股的活跃提供了空间。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资金风格：从上午的权重防御转向题材轮动。</w:t>
      </w:r>
      <w:r>
        <w:rPr>
          <w:rFonts w:ascii="微软雅黑" w:hAnsi="微软雅黑" w:eastAsia="微软雅黑"/>
          <w:color w:val="1A1A1A"/>
          <w:sz w:val="22"/>
        </w:rPr>
        <w:t>领涨板块中，“酿酒行业”和“家具行业”为新进，而“飞机制造”、“电子器件”等成长性板块涨幅收窄。这显示了资金在寻找滞涨板块进行快速轮动，而非聚焦单一主线进行强攻，攻击阵型松散。</w:t>
      </w:r>
    </w:p>
    <w:p>
      <w:pPr>
        <w:pStyle w:val="Heading2"/>
      </w:pPr>
      <w:r>
        <w:rPr>
          <w:rFonts w:ascii="微软雅黑" w:hAnsi="微软雅黑" w:eastAsia="微软雅黑"/>
          <w:color w:val="1A1A1A"/>
          <w:sz w:val="22"/>
        </w:rPr>
        <w:t>模块四：内外联动</w:t>
      </w:r>
    </w:p>
    <w:p>
      <w:pPr>
        <w:spacing w:after="120"/>
      </w:pPr>
      <w:r>
        <w:rPr>
          <w:rFonts w:ascii="微软雅黑" w:hAnsi="微软雅黑" w:eastAsia="微软雅黑"/>
          <w:color w:val="1A1A1A"/>
          <w:sz w:val="22"/>
        </w:rPr>
        <w:t>外资活跃度极高但外部环境转冷，呈现“内外分歧”格局。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外资偏好：偏成长进攻。</w:t>
      </w:r>
      <w:r>
        <w:rPr>
          <w:rFonts w:ascii="微软雅黑" w:hAnsi="微软雅黑" w:eastAsia="微软雅黑"/>
          <w:color w:val="1A1A1A"/>
          <w:sz w:val="22"/>
        </w:rPr>
        <w:t>沪市成交占比41.0%，低于45%的进攻阈值，表明外资交易重心在深市，偏好科技、成长方向。北向成交总额26800亿显示参与度极高。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外部联动共识：信号分歧且偏空，但因离岸人民币波动微弱，以外资单边高活跃度为主信号。</w:t>
      </w:r>
      <w:r>
        <w:rPr>
          <w:rFonts w:ascii="微软雅黑" w:hAnsi="微软雅黑" w:eastAsia="微软雅黑"/>
          <w:color w:val="1A1A1A"/>
          <w:sz w:val="22"/>
        </w:rPr>
        <w:t>经核实，恒生科技指数下跌0.8%为有效看空信号，离岸人民币微幅贬值0.03%可忽略不计。综合判断，外部信号偏负面，但外资在A股市场的内盘交易活跃度极高（26800亿）且南向资金净卖出15.6亿，显示内资也留在A股，形成“外部环境偏冷，内部资金偏暖”的格局。A股午后走的是独立行情，以内资和留在A股的外资驱动为主。</w:t>
      </w:r>
    </w:p>
    <w:p>
      <w:pPr>
        <w:pStyle w:val="Heading2"/>
      </w:pPr>
      <w:r>
        <w:rPr>
          <w:rFonts w:ascii="微软雅黑" w:hAnsi="微软雅黑" w:eastAsia="微软雅黑"/>
          <w:color w:val="1A1A1A"/>
          <w:sz w:val="22"/>
        </w:rPr>
        <w:t>模块五：持续性评估</w:t>
      </w:r>
    </w:p>
    <w:p>
      <w:pPr>
        <w:spacing w:after="120"/>
      </w:pPr>
      <w:r>
        <w:rPr>
          <w:rFonts w:ascii="微软雅黑" w:hAnsi="微软雅黑" w:eastAsia="微软雅黑"/>
          <w:color w:val="1A1A1A"/>
          <w:sz w:val="22"/>
        </w:rPr>
        <w:t>市场情绪修复但短线过热风险积聚，持续性存疑。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涨跌比连续两小时偏多（78%），反转概率上升。</w:t>
      </w:r>
      <w:r>
        <w:rPr>
          <w:rFonts w:ascii="微软雅黑" w:hAnsi="微软雅黑" w:eastAsia="微软雅黑"/>
          <w:color w:val="1A1A1A"/>
          <w:sz w:val="22"/>
        </w:rPr>
        <w:t>昨日同期涨跌比仅为32%（偏空），今日情绪大幅反转至79%后继续维持高位。连续极端偏多的数据，叠加午后指数滞涨的量价背离信号，尾盘或次日出现技术性修正的概率大增。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市场宽度完成情绪修复。</w:t>
      </w:r>
      <w:r>
        <w:rPr>
          <w:rFonts w:ascii="微软雅黑" w:hAnsi="微软雅黑" w:eastAsia="微软雅黑"/>
          <w:color w:val="1A1A1A"/>
          <w:sz w:val="22"/>
        </w:rPr>
        <w:t>从昨日的全面悲观到今日的普涨格局，市场宽度已基本修复。关键看明后两日能否在普涨后分化出有持续性的主线（如科技或消费），若继续快速轮动，则今日上涨仅为一次情绪反弹。</w:t>
      </w:r>
    </w:p>
    <w:p>
      <w:pPr>
        <w:pStyle w:val="Heading2"/>
      </w:pPr>
      <w:r>
        <w:rPr>
          <w:rFonts w:ascii="微软雅黑" w:hAnsi="微软雅黑" w:eastAsia="微软雅黑"/>
          <w:color w:val="1A1A1A"/>
          <w:sz w:val="22"/>
        </w:rPr>
        <w:t>模块六：红黄绿灯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🟢 绿灯（进攻信号）：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涨跌比偏高（78.3%），多头占优。</w:t>
      </w:r>
      <w:r>
        <w:rPr>
          <w:rFonts w:ascii="微软雅黑" w:hAnsi="微软雅黑" w:eastAsia="微软雅黑"/>
          <w:color w:val="1A1A1A"/>
          <w:sz w:val="22"/>
        </w:rPr>
        <w:t>市场整体情绪偏暖，为个股表现提供环境。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外资高活跃度+南向净卖出，内外资共振偏多。</w:t>
      </w:r>
      <w:r>
        <w:rPr>
          <w:rFonts w:ascii="微软雅黑" w:hAnsi="微软雅黑" w:eastAsia="微软雅黑"/>
          <w:color w:val="1A1A1A"/>
          <w:sz w:val="22"/>
        </w:rPr>
        <w:t>北向成交高达26800亿，同时南向资金净卖出15.6亿，表明内外资均在A股市场博弈，形成短期合力。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🟡 黄灯（观望信号）：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量价背离，动能衰竭。</w:t>
      </w:r>
      <w:r>
        <w:rPr>
          <w:rFonts w:ascii="微软雅黑" w:hAnsi="微软雅黑" w:eastAsia="微软雅黑"/>
          <w:color w:val="1A1A1A"/>
          <w:sz w:val="22"/>
        </w:rPr>
        <w:t>午后成交额增26.6%但指数涨幅收窄，是典型的滞涨信号，短期追高风险大。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板块轮动加速，主线不清晰。</w:t>
      </w:r>
      <w:r>
        <w:rPr>
          <w:rFonts w:ascii="微软雅黑" w:hAnsi="微软雅黑" w:eastAsia="微软雅黑"/>
          <w:color w:val="1A1A1A"/>
          <w:sz w:val="22"/>
        </w:rPr>
        <w:t>领涨板块从科技转向酿酒、家具等防守型或补涨板块，攻击散乱，赚钱效应减弱。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涨跌比连续极端，尾盘反转概率上升。</w:t>
      </w:r>
      <w:r>
        <w:rPr>
          <w:rFonts w:ascii="微软雅黑" w:hAnsi="微软雅黑" w:eastAsia="微软雅黑"/>
          <w:color w:val="1A1A1A"/>
          <w:sz w:val="22"/>
        </w:rPr>
        <w:t>连续2小时涨跌比超70%，短期情绪过热，易引发获利盘回吐。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🔴 红灯：暂无触发。</w:t>
      </w:r>
    </w:p>
    <w:p>
      <w:pPr>
        <w:spacing w:after="120"/>
      </w:pPr>
      <w:r>
        <w:rPr>
          <w:rFonts w:ascii="微软雅黑" w:hAnsi="微软雅黑" w:eastAsia="微软雅黑"/>
          <w:b/>
          <w:color w:val="D29922"/>
          <w:sz w:val="22"/>
        </w:rPr>
        <w:t>⚠️ 免责声明：本报告由 AI 自动生成，仅供参考，不构成任何投资建议。投资有风险，入市需谨慎。报告中的数据来源于公开接口，不对其准确性做任何保证。</w:t>
      </w:r>
    </w:p>
    <w:p/>
    <w:p>
      <w:r>
        <w:rPr>
          <w:color w:val="8B949E"/>
          <w:sz w:val="16"/>
        </w:rPr>
        <w:t>⚠️ 免责声明：本报告由 AI 自动生成，仅供参考，不构成任何投资建议。投资有风险，入市需谨慎。报告中的数据来源于公开接口，不对其准确性做任何保证。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