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 股量化报告 — 午盘总结</w:t>
      </w:r>
    </w:p>
    <w:p>
      <w:pPr>
        <w:jc w:val="center"/>
      </w:pPr>
      <w:r>
        <w:rPr>
          <w:color w:val="8B949E"/>
          <w:sz w:val="20"/>
        </w:rPr>
        <w:t>2026-09-03  |  模型: DeepSeek  |  量化交易视角</w:t>
      </w:r>
    </w:p>
    <w:p>
      <w:pPr>
        <w:pStyle w:val="Heading2"/>
      </w:pPr>
      <w:r>
        <w:t>核心指标速览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指数</w:t>
            </w:r>
          </w:p>
        </w:tc>
        <w:tc>
          <w:tcPr>
            <w:tcW w:type="dxa" w:w="2160"/>
          </w:tcPr>
          <w:p>
            <w:r>
              <w:t>点位</w:t>
            </w:r>
          </w:p>
        </w:tc>
        <w:tc>
          <w:tcPr>
            <w:tcW w:type="dxa" w:w="2160"/>
          </w:tcPr>
          <w:p>
            <w:r>
              <w:t>涨跌幅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上证指数</w:t>
            </w:r>
          </w:p>
        </w:tc>
        <w:tc>
          <w:tcPr>
            <w:tcW w:type="dxa" w:w="2160"/>
          </w:tcPr>
          <w:p>
            <w:r>
              <w:t>3958.08</w:t>
            </w:r>
          </w:p>
        </w:tc>
        <w:tc>
          <w:tcPr>
            <w:tcW w:type="dxa" w:w="2160"/>
          </w:tcPr>
          <w:p>
            <w:r>
              <w:t>+0.42%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深证成指</w:t>
            </w:r>
          </w:p>
        </w:tc>
        <w:tc>
          <w:tcPr>
            <w:tcW w:type="dxa" w:w="2160"/>
          </w:tcPr>
          <w:p>
            <w:r>
              <w:t>13664.49</w:t>
            </w:r>
          </w:p>
        </w:tc>
        <w:tc>
          <w:tcPr>
            <w:tcW w:type="dxa" w:w="2160"/>
          </w:tcPr>
          <w:p>
            <w:r>
              <w:t>+0.39%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创业板指</w:t>
            </w:r>
          </w:p>
        </w:tc>
        <w:tc>
          <w:tcPr>
            <w:tcW w:type="dxa" w:w="2160"/>
          </w:tcPr>
          <w:p>
            <w:r>
              <w:t>3326.47</w:t>
            </w:r>
          </w:p>
        </w:tc>
        <w:tc>
          <w:tcPr>
            <w:tcW w:type="dxa" w:w="2160"/>
          </w:tcPr>
          <w:p>
            <w:r>
              <w:t>+0.43%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科创50</w:t>
            </w:r>
          </w:p>
        </w:tc>
        <w:tc>
          <w:tcPr>
            <w:tcW w:type="dxa" w:w="2160"/>
          </w:tcPr>
          <w:p>
            <w:r>
              <w:t>1616.92</w:t>
            </w:r>
          </w:p>
        </w:tc>
        <w:tc>
          <w:tcPr>
            <w:tcW w:type="dxa" w:w="2160"/>
          </w:tcPr>
          <w:p>
            <w:r>
              <w:t>-0.04%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沪深300</w:t>
            </w:r>
          </w:p>
        </w:tc>
        <w:tc>
          <w:tcPr>
            <w:tcW w:type="dxa" w:w="2160"/>
          </w:tcPr>
          <w:p>
            <w:r>
              <w:t>4570.99</w:t>
            </w:r>
          </w:p>
        </w:tc>
        <w:tc>
          <w:tcPr>
            <w:tcW w:type="dxa" w:w="2160"/>
          </w:tcPr>
          <w:p>
            <w:r>
              <w:t>+0.51%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中证500</w:t>
            </w:r>
          </w:p>
        </w:tc>
        <w:tc>
          <w:tcPr>
            <w:tcW w:type="dxa" w:w="2160"/>
          </w:tcPr>
          <w:p>
            <w:r>
              <w:t>7762.74</w:t>
            </w:r>
          </w:p>
        </w:tc>
        <w:tc>
          <w:tcPr>
            <w:tcW w:type="dxa" w:w="2160"/>
          </w:tcPr>
          <w:p>
            <w:r>
              <w:t>+0.43%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b/>
        </w:rPr>
        <w:t>外资监测</w:t>
      </w:r>
    </w:p>
    <w:p>
      <w:r>
        <w:t xml:space="preserve">  南向资金：净买入 37.6 亿（港股通，A股情绪反向指标）</w:t>
      </w:r>
      <w:r>
        <w:rPr>
          <w:color w:val="8B949E"/>
          <w:sz w:val="18"/>
        </w:rPr>
        <w:br/>
        <w:t xml:space="preserve">  注：北向净买入自2024年证监会新规后不再公开发布，外资监测由南向资金+外部联动构成</w:t>
      </w:r>
    </w:p>
    <w:p>
      <w:r>
        <w:rPr>
          <w:b/>
        </w:rPr>
        <w:t>大资金方向（替代两融）：</w:t>
      </w:r>
      <w:r>
        <w:t>30 股聚合净流入 -39.24 亿  |  大单净 -35.79 亿  |  涨家 4 / 跌家 26</w:t>
      </w:r>
      <w:r>
        <w:rPr>
          <w:color w:val="8B949E"/>
          <w:sz w:val="18"/>
        </w:rPr>
        <w:br/>
        <w:t>注：数据来自新浪资金流（大单/特大单估算），非融资融券官方数据，仅供参考大资金方向</w:t>
      </w:r>
    </w:p>
    <w:p>
      <w:r>
        <w:rPr>
          <w:b/>
        </w:rPr>
        <w:t>宏观数据：</w:t>
      </w:r>
      <w:r>
        <w:t>CPI 0.5%  |  PPI 3.5%  |  PMI 49.2  |  M2 8.0%  |  LPR 1Y 3.0%</w:t>
      </w:r>
    </w:p>
    <w:p/>
    <w:p>
      <w:pPr>
        <w:pStyle w:val="Heading2"/>
      </w:pPr>
      <w:r>
        <w:t>量化分析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一、市场概览</w:t>
      </w:r>
    </w:p>
    <w:p>
      <w:pPr>
        <w:spacing w:after="120"/>
      </w:pPr>
      <w:r>
        <w:rPr>
          <w:rFonts w:ascii="微软雅黑" w:hAnsi="微软雅黑" w:eastAsia="微软雅黑"/>
          <w:b/>
          <w:color w:val="D29922"/>
          <w:sz w:val="22"/>
        </w:rPr>
        <w:t>本时段核心变化是：成交额异常放量+36.1%至10985亿，但指数仅微涨、上涨家数仅35.7%，权重护盘掩盖了市场宽度快速恶化。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上午收盘，上证指数+0.42%报3958.08点，深证成指+0.39%，创业板指+0.43%，沪深300+0.51%，中证500+0.43%；科创50逆势微跌-0.04%。指数整体维持红盘，但较上一时段涨幅几乎原地踏步（上证+0.00pp、沪深300 -0.02pp），显示上攻动能边际衰竭；而较昨日同期则出现全面加速上涨（深证成指+2.10pp、创业板指+2.61pp），说明过去一日的动量仍在高位，但午前已进入滞涨阶段。整体定性：</w:t>
      </w:r>
      <w:r>
        <w:rPr>
          <w:rFonts w:ascii="微软雅黑" w:hAnsi="微软雅黑" w:eastAsia="微软雅黑"/>
          <w:b/>
          <w:color w:val="D29922"/>
          <w:sz w:val="22"/>
        </w:rPr>
        <w:t>动能加速后的高位横盘，存在动能衰竭风险</w:t>
      </w:r>
      <w:r>
        <w:rPr>
          <w:rFonts w:ascii="微软雅黑" w:hAnsi="微软雅黑" w:eastAsia="微软雅黑"/>
          <w:color w:val="1A1A1A"/>
          <w:sz w:val="22"/>
        </w:rPr>
        <w:t>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二、核心指标</w:t>
      </w:r>
    </w:p>
    <w:p>
      <w:pPr>
        <w:spacing w:after="120"/>
      </w:pPr>
      <w:r>
        <w:rPr>
          <w:rFonts w:ascii="微软雅黑" w:hAnsi="微软雅黑" w:eastAsia="微软雅黑"/>
          <w:b/>
          <w:color w:val="D29922"/>
          <w:sz w:val="22"/>
        </w:rPr>
        <w:t>本时段核心变化是：南向资金净买入扩大至37.64亿（较上一时段+11.7亿、较昨日同期+9.2亿），内资加速南下，A股情绪承压。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涨跌比</w:t>
      </w:r>
      <w:r>
        <w:rPr>
          <w:rFonts w:ascii="微软雅黑" w:hAnsi="微软雅黑" w:eastAsia="微软雅黑"/>
          <w:color w:val="1A1A1A"/>
          <w:sz w:val="22"/>
        </w:rPr>
        <w:t>：全市场上涨357家、下跌627家，上涨占比仅35.7%，涨停5家、跌停2家。指数红盘但个股普跌，二八分化严重。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成交额</w:t>
      </w:r>
      <w:r>
        <w:rPr>
          <w:rFonts w:ascii="微软雅黑" w:hAnsi="微软雅黑" w:eastAsia="微软雅黑"/>
          <w:color w:val="1A1A1A"/>
          <w:sz w:val="22"/>
        </w:rPr>
        <w:t>：10985亿，较上一时段+36.1%，显著放量；但结合大单资金净流出（-35.79亿）与指数横盘，量能未转化为有效做多力量，需警惕放量滞涨。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南向资金（港股通）</w:t>
      </w:r>
      <w:r>
        <w:rPr>
          <w:rFonts w:ascii="微软雅黑" w:hAnsi="微软雅黑" w:eastAsia="微软雅黑"/>
          <w:color w:val="1A1A1A"/>
          <w:sz w:val="22"/>
        </w:rPr>
        <w:t>：净买入37.64亿，属“大幅净流入”区间（&gt;30亿），为A股情绪反向指标。南向大幅净买入=内资南下抄底港股，分流A股流动性，A股情绪偏弱。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外部联动</w:t>
      </w:r>
      <w:r>
        <w:rPr>
          <w:rFonts w:ascii="微软雅黑" w:hAnsi="微软雅黑" w:eastAsia="微软雅黑"/>
          <w:color w:val="1A1A1A"/>
          <w:sz w:val="22"/>
        </w:rPr>
        <w:t>：离岸人民币+0.00%中性，恒生指数+0.11%弱多，恒生科技-0.34%中等偏空；外部共识得分-0.9（分歧），较上一时段明显转弱（+1.8→-0.9，Δ-2.7）。南向与外部联动方向一致偏空，外资监测信号偏谨慎。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主力资金（新浪估算）</w:t>
      </w:r>
      <w:r>
        <w:rPr>
          <w:rFonts w:ascii="微软雅黑" w:hAnsi="微软雅黑" w:eastAsia="微软雅黑"/>
          <w:color w:val="1A1A1A"/>
          <w:sz w:val="22"/>
        </w:rPr>
        <w:t>：大单净流出35.79亿，整体净流出39.24亿，资金流出与指数上涨构成量价背离。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三、板块热点</w:t>
      </w:r>
    </w:p>
    <w:p>
      <w:pPr>
        <w:spacing w:after="120"/>
      </w:pPr>
      <w:r>
        <w:rPr>
          <w:rFonts w:ascii="微软雅黑" w:hAnsi="微软雅黑" w:eastAsia="微软雅黑"/>
          <w:b/>
          <w:color w:val="D29922"/>
          <w:sz w:val="22"/>
        </w:rPr>
        <w:t>本时段核心变化是：陶瓷行业延续领涨，次新股、有色金属新进，板块轮动加快，缺乏主线。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领涨</w:t>
      </w:r>
      <w:r>
        <w:rPr>
          <w:rFonts w:ascii="微软雅黑" w:hAnsi="微软雅黑" w:eastAsia="微软雅黑"/>
          <w:color w:val="1A1A1A"/>
          <w:sz w:val="22"/>
        </w:rPr>
        <w:t>：陶瓷行业+1.68%（较上一时段延续），次新股+1.08%、有色金属+0.28%（均较上一时段新进）。金融行业+0.22%对指数贡献较大，但更多是护盘属性而非主动进攻。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领跌</w:t>
      </w:r>
      <w:r>
        <w:rPr>
          <w:rFonts w:ascii="微软雅黑" w:hAnsi="微软雅黑" w:eastAsia="微软雅黑"/>
          <w:color w:val="1A1A1A"/>
          <w:sz w:val="22"/>
        </w:rPr>
        <w:t>：农林牧渔-0.15%、酿酒-0.14%、医疗器械-0.09%、玻璃-0.07%。消费与防御板块走弱，资金偏向小盘题材与顺周期有色。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驱动分析</w:t>
      </w:r>
      <w:r>
        <w:rPr>
          <w:rFonts w:ascii="微软雅黑" w:hAnsi="微软雅黑" w:eastAsia="微软雅黑"/>
          <w:color w:val="1A1A1A"/>
          <w:sz w:val="22"/>
        </w:rPr>
        <w:t>：陶瓷行业近期受地产链预期或个股事件驱动，但板块容量小、持续性存疑；次新股因筹码干净、IPO节奏放缓获得游资青睐；有色金属受外盘铜价微涨及避险情绪支撑。整体来看，领涨板块多为中小市值或题材驱动，未见权重蓝筹形成合力，轮动速度加快（陶瓷延续、次新与有色新进），赚钱效应并不强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四、技术信号</w:t>
      </w:r>
    </w:p>
    <w:p>
      <w:pPr>
        <w:spacing w:after="120"/>
      </w:pPr>
      <w:r>
        <w:rPr>
          <w:rFonts w:ascii="微软雅黑" w:hAnsi="微软雅黑" w:eastAsia="微软雅黑"/>
          <w:b/>
          <w:color w:val="D29922"/>
          <w:sz w:val="22"/>
        </w:rPr>
        <w:t>本时段核心变化是：指数站上短期均线但动能停滞，放量滞涨叠加指数间分化，技术面出现隐忧。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均线结构</w:t>
      </w:r>
      <w:r>
        <w:rPr>
          <w:rFonts w:ascii="微软雅黑" w:hAnsi="微软雅黑" w:eastAsia="微软雅黑"/>
          <w:color w:val="1A1A1A"/>
          <w:sz w:val="22"/>
        </w:rPr>
        <w:t>：上证指数3958点附近，5日均线向上但乖离率扩大；深证成指、创业板指均处于多头排列，但较昨日同期涨幅过大（创业板+2.61pp），短线存在超买回踩需求。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MACD/KDJ/RSI（动能推断）</w:t>
      </w:r>
      <w:r>
        <w:rPr>
          <w:rFonts w:ascii="微软雅黑" w:hAnsi="微软雅黑" w:eastAsia="微软雅黑"/>
          <w:color w:val="1A1A1A"/>
          <w:sz w:val="22"/>
        </w:rPr>
        <w:t>：指数加速上涨后横盘，日线MACD红柱或延续但小时级别动能减弱；KDJ在权重指数上进入高位钝化区，RSI接近超买阈值。指数间分化明显：科创50仍为负值，显示成长科技股并未跟随。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量价关系</w:t>
      </w:r>
      <w:r>
        <w:rPr>
          <w:rFonts w:ascii="微软雅黑" w:hAnsi="微软雅黑" w:eastAsia="微软雅黑"/>
          <w:color w:val="1A1A1A"/>
          <w:sz w:val="22"/>
        </w:rPr>
        <w:t>：成交额放量+36.1%，但指数仅微涨且个股多数下跌，属典型“放量滞涨+宽度背离”，技术面短期回调概率上升。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关键位置</w:t>
      </w:r>
      <w:r>
        <w:rPr>
          <w:rFonts w:ascii="微软雅黑" w:hAnsi="微软雅黑" w:eastAsia="微软雅黑"/>
          <w:color w:val="1A1A1A"/>
          <w:sz w:val="22"/>
        </w:rPr>
        <w:t>：上证指数需守住3950一线，若午后失守则可能回踩3920区域；沪深300若跌破4570则权重护盘失效。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五、量化视角</w:t>
      </w:r>
    </w:p>
    <w:p>
      <w:pPr>
        <w:spacing w:after="120"/>
      </w:pPr>
      <w:r>
        <w:rPr>
          <w:rFonts w:ascii="微软雅黑" w:hAnsi="微软雅黑" w:eastAsia="微软雅黑"/>
          <w:b/>
          <w:color w:val="D29922"/>
          <w:sz w:val="22"/>
        </w:rPr>
        <w:t>本时段核心变化是：市场宽度急剧恶化，大单净流出与放量上涨形成尖锐背离，量化信号偏空。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市场宽度</w:t>
      </w:r>
      <w:r>
        <w:rPr>
          <w:rFonts w:ascii="微软雅黑" w:hAnsi="微软雅黑" w:eastAsia="微软雅黑"/>
          <w:color w:val="1A1A1A"/>
          <w:sz w:val="22"/>
        </w:rPr>
        <w:t>：上涨占比35.7%，远低于50%健康线；涨停仅5家，跌停2家，赚钱效应极差。指数上涨主要由沪深300等权重贡献，中小盘反而走弱，典型“指数牛、个股熊”。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资金流向</w:t>
      </w:r>
      <w:r>
        <w:rPr>
          <w:rFonts w:ascii="微软雅黑" w:hAnsi="微软雅黑" w:eastAsia="微软雅黑"/>
          <w:color w:val="1A1A1A"/>
          <w:sz w:val="22"/>
        </w:rPr>
        <w:t>：样本内大单净流出35.79亿，流入家数仅4家、流出26家，主力资金大幅撤离。南向资金净买入37.64亿，进一步分流场内活跃资金。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量价关系</w:t>
      </w:r>
      <w:r>
        <w:rPr>
          <w:rFonts w:ascii="微软雅黑" w:hAnsi="微软雅黑" w:eastAsia="微软雅黑"/>
          <w:color w:val="1A1A1A"/>
          <w:sz w:val="22"/>
        </w:rPr>
        <w:t>：成交额10985亿为近期较高水平，但增量资金未推动全面上涨，反而出现主力</w:t>
      </w:r>
    </w:p>
    <w:p/>
    <w:p>
      <w:r>
        <w:rPr>
          <w:color w:val="8B949E"/>
          <w:sz w:val="16"/>
        </w:rPr>
        <w:t>⚠️ 免责声明：本报告由 AI 自动生成，仅供参考，不构成任何投资建议。投资有风险，入市需谨慎。报告中的数据来源于公开接口，不对其准确性做任何保证。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