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2026-09-08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3932.68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13774.91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3398.68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1615.53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4574.87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7759.26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创业板指较上一时段动能-3.40pp、科创50-2.43pp，涨势快速衰竭；深证成指同步-1.91pp、上证指数-0.07pp，横盘延续中上行动能已明显衰减，属典型动能衰竭而非趋势反转。隔夜纳斯达克收跌0.29%至26506.99，跌幅中性偏弱，A50期货数据缺失，外围未提供明确方向；结合昨日板块领涨完全替换（玻璃行业、传媒娱乐、船舶制造接棒电子器件、次新股、机械行业），今日开盘大概率平开或小幅低开，需警惕创业板高波动标的惯性杀跌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从宏观与量价共振看，7月CPI同比0.5%（环比-0.1%）、PPI同比3.5%双回落，制造业PMI 49.2且服务业同步跌破荣枯线，经济动能偏弱对指数形成压制；M2同比8.0%、社融增量同比少增8606亿元，流动性宽松未能有效转化为信用扩张，LPR连续14个月不变叠加商业银行净息差1.4%历史低位，短期政策利率下调空间有限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技术信号上，创业板指较昨日同期呈横盘但较上一时段动能大幅衰减，若今日成交额不能重新放大且上涨家数占比低于50%，将构成量价背离，确立短期调整；板块快速轮动显示存量博弈，追高船舶制造、传媒娱乐等新领涨方向需防范次日退潮。关键风险点：金融数据发布窗口临近（M2/社融8月中旬更新），若数据不及预期可能打压顺周期；关注上证指数能否守住昨日低点，若低开低走则日内转弱信号明确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