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2026-09-07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3931.89</w:t>
            </w:r>
          </w:p>
        </w:tc>
        <w:tc>
          <w:tcPr>
            <w:tcW w:type="dxa" w:w="2160"/>
          </w:tcPr>
          <w:p>
            <w:r>
              <w:t>+0.05%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13764.87</w:t>
            </w:r>
          </w:p>
        </w:tc>
        <w:tc>
          <w:tcPr>
            <w:tcW w:type="dxa" w:w="2160"/>
          </w:tcPr>
          <w:p>
            <w:r>
              <w:t>+1.83%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3394.73</w:t>
            </w:r>
          </w:p>
        </w:tc>
        <w:tc>
          <w:tcPr>
            <w:tcW w:type="dxa" w:w="2160"/>
          </w:tcPr>
          <w:p>
            <w:r>
              <w:t>+3.29%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1614.05</w:t>
            </w:r>
          </w:p>
        </w:tc>
        <w:tc>
          <w:tcPr>
            <w:tcW w:type="dxa" w:w="2160"/>
          </w:tcPr>
          <w:p>
            <w:r>
              <w:t>+2.33%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4571.21</w:t>
            </w:r>
          </w:p>
        </w:tc>
        <w:tc>
          <w:tcPr>
            <w:tcW w:type="dxa" w:w="2160"/>
          </w:tcPr>
          <w:p>
            <w:r>
              <w:t>+0.51%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7760.65</w:t>
            </w:r>
          </w:p>
        </w:tc>
        <w:tc>
          <w:tcPr>
            <w:tcW w:type="dxa" w:w="2160"/>
          </w:tcPr>
          <w:p>
            <w:r>
              <w:t>+1.41%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12.7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44.14 亿  |  大单净 44.98 亿  |  涨家 24 / 跌家 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</w:t>
      </w:r>
      <w:r>
        <w:rPr>
          <w:rFonts w:ascii="微软雅黑" w:hAnsi="微软雅黑" w:eastAsia="微软雅黑"/>
          <w:b/>
          <w:color w:val="D29922"/>
          <w:sz w:val="22"/>
        </w:rPr>
        <w:t>题材加速进攻，但权重指数完全脱离节奏，盘面呈现极致的结构分化而非全面牛市。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指数方向：</w:t>
      </w:r>
      <w:r>
        <w:rPr>
          <w:rFonts w:ascii="微软雅黑" w:hAnsi="微软雅黑" w:eastAsia="微软雅黑"/>
          <w:color w:val="1A1A1A"/>
          <w:sz w:val="22"/>
        </w:rPr>
        <w:t>深市及成长指数较上一时段加速上涨——创业板指 +3.29%（较上一时段 +0.67pp）、科创50 +2.33%（+0.76pp）、深证成指 +1.83%（+0.46pp），均为动能加速。但上证指数 +0.05%，仅较上一时段 +0.29pp，处于横盘挣扎区，与深市形成明显分裂。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量能：</w:t>
      </w:r>
      <w:r>
        <w:rPr>
          <w:rFonts w:ascii="微软雅黑" w:hAnsi="微软雅黑" w:eastAsia="微软雅黑"/>
          <w:color w:val="1A1A1A"/>
          <w:sz w:val="22"/>
        </w:rPr>
        <w:t>两市成交额 15867 亿，较上一时段 +27.7% 放量，放量幅度显著，资金参与度提升，但量能主要流向深市成长方向，而非权重方向。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上涨 678 家 / 下跌 301 家，涨跌比 2.25:1，上涨占比 67.8%，市场宽度处于中性偏多水平，较上一时段虽未给出具体数据，但从领涨板块完全替换推断，宽度在扩张但主线在漂移。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本时段以沪深300成交额占两市总成交额来估算权重虹吸效应。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权重占比：</w:t>
      </w:r>
      <w:r>
        <w:rPr>
          <w:rFonts w:ascii="微软雅黑" w:hAnsi="微软雅黑" w:eastAsia="微软雅黑"/>
          <w:color w:val="1A1A1A"/>
          <w:sz w:val="22"/>
        </w:rPr>
        <w:t>沪深300成交额约 4430 亿，两市成交额 15867 亿，占比约</w:t>
      </w:r>
      <w:r>
        <w:rPr>
          <w:rFonts w:ascii="微软雅黑" w:hAnsi="微软雅黑" w:eastAsia="微软雅黑"/>
          <w:b/>
          <w:color w:val="D29922"/>
          <w:sz w:val="22"/>
        </w:rPr>
        <w:t>27.9%</w:t>
      </w:r>
      <w:r>
        <w:rPr>
          <w:rFonts w:ascii="微软雅黑" w:hAnsi="微软雅黑" w:eastAsia="微软雅黑"/>
          <w:color w:val="1A1A1A"/>
          <w:sz w:val="22"/>
        </w:rPr>
        <w:t>，远低于 70% 的警戒线。资金并未集中大票，权重股处于边缘化状态。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资金取向：</w:t>
      </w:r>
      <w:r>
        <w:rPr>
          <w:rFonts w:ascii="微软雅黑" w:hAnsi="微软雅黑" w:eastAsia="微软雅黑"/>
          <w:color w:val="1A1A1A"/>
          <w:sz w:val="22"/>
        </w:rPr>
        <w:t>放量 +27.7% 的背景下，上证仅微涨 0.05%，而深成指、创业板、科创50集体加速，说明增量资金明确流向题材进攻（PCB、元件、半导体材料、通信设备），而非权重防御。这属于典型的题材进攻格局，而非权重搭台行情。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结构警示：</w:t>
      </w:r>
      <w:r>
        <w:rPr>
          <w:rFonts w:ascii="微软雅黑" w:hAnsi="微软雅黑" w:eastAsia="微软雅黑"/>
          <w:color w:val="1A1A1A"/>
          <w:sz w:val="22"/>
        </w:rPr>
        <w:t>上证与深市剪刀差扩大至 1.78pp，沪深300仅 +0.51%，权重严重拖累指数，若后续权重不能接力，单靠题材拉升的行情持续性存疑。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Python 预判结果：0看多 / 2看空，一致性分数 -4.8，置信度中。验证原始数据：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信号有效性验证：</w:t>
      </w:r>
      <w:r>
        <w:rPr>
          <w:rFonts w:ascii="微软雅黑" w:hAnsi="微软雅黑" w:eastAsia="微软雅黑"/>
          <w:color w:val="1A1A1A"/>
          <w:sz w:val="22"/>
        </w:rPr>
        <w:t>恒生指数 -0.95%、恒生科技 -1.06%，两者跌幅均超过 0.3% 的微弱阈值，方向一致看空，信号有效。离岸人民币 +0.03%，属于微弱信号，可忽略。Python 预判与实际涨跌幅方向一致，判断合理。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内外背离核心解读：</w:t>
      </w:r>
      <w:r>
        <w:rPr>
          <w:rFonts w:ascii="微软雅黑" w:hAnsi="微软雅黑" w:eastAsia="微软雅黑"/>
          <w:color w:val="1A1A1A"/>
          <w:sz w:val="22"/>
        </w:rPr>
        <w:t>外部港股与中概科技全线走弱（恒生科技 -1.06%），但 A 股创业板 +3.29%、科创50 +2.33% 逆势加速，出现明显的内外背离。</w:t>
      </w:r>
      <w:r>
        <w:rPr>
          <w:rFonts w:ascii="微软雅黑" w:hAnsi="微软雅黑" w:eastAsia="微软雅黑"/>
          <w:b/>
          <w:color w:val="D29922"/>
          <w:sz w:val="22"/>
        </w:rPr>
        <w:t>这并非外资系统性看多，而是内盘资金驱动的结构性行情</w:t>
      </w:r>
      <w:r>
        <w:rPr>
          <w:rFonts w:ascii="微软雅黑" w:hAnsi="微软雅黑" w:eastAsia="微软雅黑"/>
          <w:color w:val="1A1A1A"/>
          <w:sz w:val="22"/>
        </w:rPr>
        <w:t>，外资的缺席反而让内资在特定题材上获得定价权。南向资金净买入 12.7 亿（较上一时段 -0.2 亿转正），说明南下资金回流港股规模有限，但沪市港股通方向为净卖出 -0.74 亿、深市净买入 +13.46 亿，内资分歧仍在。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结论：</w:t>
      </w:r>
      <w:r>
        <w:rPr>
          <w:rFonts w:ascii="微软雅黑" w:hAnsi="微软雅黑" w:eastAsia="微软雅黑"/>
          <w:color w:val="1A1A1A"/>
          <w:sz w:val="22"/>
        </w:rPr>
        <w:t>外部偏空 + 南向小幅净买入，与 A 股内盘题材强力拉升形成背离，属于内盘主导型行情，外部信号对 A 股约束力弱。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涨跌比 67.8% 连续偏多，但与此轮题材快速轮动叠加，需关注持续性风险。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上涨占比 67.8%，涨停 31 家 / 跌停 2 家，多头占主导但未进入极端亢奋区间（&gt;85%）。涨跌比虽偏暖，但领涨板块从上一时段的"电子器件、次新股、机械行业"完全替换为"印制电路板、元件、其他种植业"，轮动速度过快，板块持续性被削弱，追涨的边际收益下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方向反转评估：</w:t>
      </w:r>
      <w:r>
        <w:rPr>
          <w:rFonts w:ascii="微软雅黑" w:hAnsi="微软雅黑" w:eastAsia="微软雅黑"/>
          <w:color w:val="1A1A1A"/>
          <w:sz w:val="22"/>
        </w:rPr>
        <w:t>昨日涨停股数据暂缺，涨停股今日表现无法回溯，方向反转信号暂不能触发。需要至少 1 个交易日积累数据后，才能评估高位股是否有明显的炸板或核按钮迹象。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核心矛盾：</w:t>
      </w:r>
      <w:r>
        <w:rPr>
          <w:rFonts w:ascii="微软雅黑" w:hAnsi="微软雅黑" w:eastAsia="微软雅黑"/>
          <w:color w:val="1A1A1A"/>
          <w:sz w:val="22"/>
        </w:rPr>
        <w:t>指数加速上涨的背景下，板块轮动如走马灯般切换，说明资金在题材间高频试错而非锁定主线，这种行情通常对应阶段性情绪高潮，但持续性较差。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综合信号评级，当前处于黄灯偏绿状态，结构性机会存在，但不宜追涨轮动。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🔴</w:t>
      </w:r>
      <w:r>
        <w:rPr>
          <w:rFonts w:ascii="微软雅黑" w:hAnsi="微软雅黑" w:eastAsia="微软雅黑"/>
          <w:b/>
          <w:color w:val="D29922"/>
          <w:sz w:val="22"/>
        </w:rPr>
        <w:t>红灯：</w:t>
      </w:r>
      <w:r>
        <w:rPr>
          <w:rFonts w:ascii="微软雅黑" w:hAnsi="微软雅黑" w:eastAsia="微软雅黑"/>
          <w:color w:val="1A1A1A"/>
          <w:sz w:val="22"/>
        </w:rPr>
        <w:t>暂无触发。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黄灯（观望信号）：</w:t>
      </w:r>
      <w:r>
        <w:rPr>
          <w:rFonts w:ascii="微软雅黑" w:hAnsi="微软雅黑" w:eastAsia="微软雅黑"/>
          <w:color w:val="1A1A1A"/>
          <w:sz w:val="22"/>
        </w:rPr>
        <w:t>板块轮动加速，主线不清晰，追涨易被套。上证指数与深市成长指数严重背离，权重股持续疲软，风格极端化后存在回归风险。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🟢</w:t>
      </w:r>
      <w:r>
        <w:rPr>
          <w:rFonts w:ascii="微软雅黑" w:hAnsi="微软雅黑" w:eastAsia="微软雅黑"/>
          <w:b/>
          <w:color w:val="D29922"/>
          <w:sz w:val="22"/>
        </w:rPr>
        <w:t>绿灯（进攻信号）：</w:t>
      </w:r>
      <w:r>
        <w:rPr>
          <w:rFonts w:ascii="微软雅黑" w:hAnsi="微软雅黑" w:eastAsia="微软雅黑"/>
          <w:color w:val="1A1A1A"/>
          <w:sz w:val="22"/>
        </w:rPr>
        <w:t>涨跌比 67.8% 偏暖，多头占主导。成交额放量 +27.7%，量价配合良好，深市成长指数动能加速。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操作上，题材主线尚可跟踪但不宜盘中追轮动，持仓者可持股待涨，空仓者等待板块分出真正主线再介入，权重股暂不作为主攻方向。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