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2026-09-04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3955.82</w:t>
            </w:r>
          </w:p>
        </w:tc>
        <w:tc>
          <w:tcPr>
            <w:tcW w:type="dxa" w:w="2160"/>
          </w:tcPr>
          <w:p>
            <w:r>
              <w:t>+0.35%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13661.00</w:t>
            </w:r>
          </w:p>
        </w:tc>
        <w:tc>
          <w:tcPr>
            <w:tcW w:type="dxa" w:w="2160"/>
          </w:tcPr>
          <w:p>
            <w:r>
              <w:t>+0.26%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3326.63</w:t>
            </w:r>
          </w:p>
        </w:tc>
        <w:tc>
          <w:tcPr>
            <w:tcW w:type="dxa" w:w="2160"/>
          </w:tcPr>
          <w:p>
            <w:r>
              <w:t>+0.43%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1599.81</w:t>
            </w:r>
          </w:p>
        </w:tc>
        <w:tc>
          <w:tcPr>
            <w:tcW w:type="dxa" w:w="2160"/>
          </w:tcPr>
          <w:p>
            <w:r>
              <w:t>-0.71%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4572.27</w:t>
            </w:r>
          </w:p>
        </w:tc>
        <w:tc>
          <w:tcPr>
            <w:tcW w:type="dxa" w:w="2160"/>
          </w:tcPr>
          <w:p>
            <w:r>
              <w:t>+0.43%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7745.98</w:t>
            </w:r>
          </w:p>
        </w:tc>
        <w:tc>
          <w:tcPr>
            <w:tcW w:type="dxa" w:w="2160"/>
          </w:tcPr>
          <w:p>
            <w:r>
              <w:t>-0.12%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南向资金：净卖出 56.6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28.46 亿  |  大单净 30.0 亿  |  涨家 18 / 跌家 12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</w:t>
      </w:r>
      <w:r>
        <w:rPr>
          <w:rFonts w:ascii="微软雅黑" w:hAnsi="微软雅黑" w:eastAsia="微软雅黑"/>
          <w:b/>
          <w:color w:val="D29922"/>
          <w:sz w:val="22"/>
        </w:rPr>
        <w:t>放量滞涨+大小盘分化加剧</w:t>
      </w:r>
      <w:r>
        <w:rPr>
          <w:rFonts w:ascii="微软雅黑" w:hAnsi="微软雅黑" w:eastAsia="微软雅黑"/>
          <w:color w:val="1A1A1A"/>
          <w:sz w:val="22"/>
        </w:rPr>
        <w:t>。上证指数微涨0.35%横盘延续，但成交额较上一时段暴增31.2%至12340亿，量能泛滥而指数引力不足；科创50加速下跌至-0.71%（较上一时段-0.64pp），中证500转跌-0.12%，资金从高弹性品种撤离，呈现典型"指数护盘、个股失血"格局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：716涨 / 274跌，上涨比例71.6%，表面强势，但涨停仅4家、跌停0家，赚钱效应平淡，属于"广撒网、无主升"的散点式上涨。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：12340亿，较上一时段+31.2%，较昨日同期+12.3%。放量幅度显著，但上证仅+0.35%，</w:t>
      </w:r>
      <w:r>
        <w:rPr>
          <w:rFonts w:ascii="微软雅黑" w:hAnsi="微软雅黑" w:eastAsia="微软雅黑"/>
          <w:b/>
          <w:color w:val="D29922"/>
          <w:sz w:val="22"/>
        </w:rPr>
        <w:t>量价背离信号明显</w:t>
      </w:r>
      <w:r>
        <w:rPr>
          <w:rFonts w:ascii="微软雅黑" w:hAnsi="微软雅黑" w:eastAsia="微软雅黑"/>
          <w:color w:val="1A1A1A"/>
          <w:sz w:val="22"/>
        </w:rPr>
        <w:t>——巨量未能推升指数，需警惕午后情绪反转。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外资监测（二维框架）</w:t>
      </w:r>
      <w:r>
        <w:rPr>
          <w:rFonts w:ascii="微软雅黑" w:hAnsi="微软雅黑" w:eastAsia="微软雅黑"/>
          <w:color w:val="1A1A1A"/>
          <w:sz w:val="22"/>
        </w:rPr>
        <w:t>：南向资金净</w:t>
      </w:r>
      <w:r>
        <w:rPr>
          <w:rFonts w:ascii="微软雅黑" w:hAnsi="微软雅黑" w:eastAsia="微软雅黑"/>
          <w:b/>
          <w:color w:val="D29922"/>
          <w:sz w:val="22"/>
        </w:rPr>
        <w:t>-56.6亿</w:t>
      </w:r>
      <w:r>
        <w:rPr>
          <w:rFonts w:ascii="微软雅黑" w:hAnsi="微软雅黑" w:eastAsia="微软雅黑"/>
          <w:color w:val="1A1A1A"/>
          <w:sz w:val="22"/>
        </w:rPr>
        <w:t>（净流出，较上一时段-14.9亿），内资从港股回撤、方向指向A股情绪偏强；外部联动恒生科技+2.71%、恒指+2.14%，离岸人民币微幅升值，外部共识偏多（得分+6.0，中等置信度）。</w:t>
      </w:r>
      <w:r>
        <w:rPr>
          <w:rFonts w:ascii="微软雅黑" w:hAnsi="微软雅黑" w:eastAsia="微软雅黑"/>
          <w:b/>
          <w:color w:val="D29922"/>
          <w:sz w:val="22"/>
        </w:rPr>
        <w:t>南向净卖出+外部偏多=内外资共振偏多A股，但需以南向回流能否持续为验证。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</w:t>
      </w:r>
      <w:r>
        <w:rPr>
          <w:rFonts w:ascii="微软雅黑" w:hAnsi="微软雅黑" w:eastAsia="微软雅黑"/>
          <w:color w:val="1A1A1A"/>
          <w:sz w:val="22"/>
        </w:rPr>
        <w:t>：酿酒行业+1.81%、船舶制造+0.52%、飞机制造+0.39%、农林牧渔+0.32%。酿酒板块与昨日同期相比属于"领涨板块完全替换"——</w:t>
      </w:r>
      <w:r>
        <w:rPr>
          <w:rFonts w:ascii="微软雅黑" w:hAnsi="微软雅黑" w:eastAsia="微软雅黑"/>
          <w:b/>
          <w:color w:val="D29922"/>
          <w:sz w:val="22"/>
        </w:rPr>
        <w:t>资金从次新股/有色金属/陶瓷转向低估值消费+军工</w:t>
      </w:r>
      <w:r>
        <w:rPr>
          <w:rFonts w:ascii="微软雅黑" w:hAnsi="微软雅黑" w:eastAsia="微软雅黑"/>
          <w:color w:val="1A1A1A"/>
          <w:sz w:val="22"/>
        </w:rPr>
        <w:t>，显示防御性轮动而非进攻性上攻。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</w:t>
      </w:r>
      <w:r>
        <w:rPr>
          <w:rFonts w:ascii="微软雅黑" w:hAnsi="微软雅黑" w:eastAsia="微软雅黑"/>
          <w:color w:val="1A1A1A"/>
          <w:sz w:val="22"/>
        </w:rPr>
        <w:t>：次新股-1.01%、有色金属-0.30%、电子器件-0.20%、煤炭行业-0.14%。次新股领跌印证风险偏好快速收缩，与科创50加速下跌形成共振。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个股异动</w:t>
      </w:r>
      <w:r>
        <w:rPr>
          <w:rFonts w:ascii="微软雅黑" w:hAnsi="微软雅黑" w:eastAsia="微软雅黑"/>
          <w:color w:val="1A1A1A"/>
          <w:sz w:val="22"/>
        </w:rPr>
        <w:t>：N华汇上市首日+123%（新股情绪释放），但浪潮信息-9.36%、华虹宏力-6.93%、国科微-8.87%，半导体高位股集体杀跌，</w:t>
      </w:r>
      <w:r>
        <w:rPr>
          <w:rFonts w:ascii="微软雅黑" w:hAnsi="微软雅黑" w:eastAsia="微软雅黑"/>
          <w:b/>
          <w:color w:val="D29922"/>
          <w:sz w:val="22"/>
        </w:rPr>
        <w:t>科技主线出现踩踏迹象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：3955点横盘，较上一时段-0.23pp，较昨日同期-0.07pp，动能衰竭。上方3970-4000套牢区压力未解，需要更大成交量突破，但当前放量滞涨走势不利上攻。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：1599点，较上一时段-0.64pp，较昨日同期-0.67pp，</w:t>
      </w:r>
      <w:r>
        <w:rPr>
          <w:rFonts w:ascii="微软雅黑" w:hAnsi="微软雅黑" w:eastAsia="微软雅黑"/>
          <w:b/>
          <w:color w:val="D29922"/>
          <w:sz w:val="22"/>
        </w:rPr>
        <w:t>加速下跌</w:t>
      </w:r>
      <w:r>
        <w:rPr>
          <w:rFonts w:ascii="微软雅黑" w:hAnsi="微软雅黑" w:eastAsia="微软雅黑"/>
          <w:color w:val="1A1A1A"/>
          <w:sz w:val="22"/>
        </w:rPr>
        <w:t>。跌破短期均线且量能未缩，MACD绿柱扩大，KDJ死叉向下，技术面转弱，等待止跌信号。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沪深300</w:t>
      </w:r>
      <w:r>
        <w:rPr>
          <w:rFonts w:ascii="微软雅黑" w:hAnsi="微软雅黑" w:eastAsia="微软雅黑"/>
          <w:color w:val="1A1A1A"/>
          <w:sz w:val="22"/>
        </w:rPr>
        <w:t>：+0.43%唯一略强，较上一时段-0.20pp，金融、消费权重护盘意味浓厚，但</w:t>
      </w:r>
      <w:r>
        <w:rPr>
          <w:rFonts w:ascii="微软雅黑" w:hAnsi="微软雅黑" w:eastAsia="微软雅黑"/>
          <w:b/>
          <w:color w:val="D29922"/>
          <w:sz w:val="22"/>
        </w:rPr>
        <w:t>护盘不拉攻</w:t>
      </w:r>
      <w:r>
        <w:rPr>
          <w:rFonts w:ascii="微软雅黑" w:hAnsi="微软雅黑" w:eastAsia="微软雅黑"/>
          <w:color w:val="1A1A1A"/>
          <w:sz w:val="22"/>
        </w:rPr>
        <w:t>，上证50/沪深300与中证500/科创50的剪刀差扩大是当下最需警惕的结构性分化。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RSI/KDJ综合判断</w:t>
      </w:r>
      <w:r>
        <w:rPr>
          <w:rFonts w:ascii="微软雅黑" w:hAnsi="微软雅黑" w:eastAsia="微软雅黑"/>
          <w:color w:val="1A1A1A"/>
          <w:sz w:val="22"/>
        </w:rPr>
        <w:t>：上证短期进入超买区但上攻乏力，科创50进入超卖但未出现底背离，</w:t>
      </w:r>
      <w:r>
        <w:rPr>
          <w:rFonts w:ascii="微软雅黑" w:hAnsi="微软雅黑" w:eastAsia="微软雅黑"/>
          <w:b/>
          <w:color w:val="D29922"/>
          <w:sz w:val="22"/>
        </w:rPr>
        <w:t>指数层面追涨性价比低、杀跌风险有限，个股层面科技股仍处补跌通道。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：新浪30股抽样大单净流入仅+28.46亿，18流入/12流出，大单方向微弱偏多，但相对12340亿成交额，净流入占比不足0.3%，</w:t>
      </w:r>
      <w:r>
        <w:rPr>
          <w:rFonts w:ascii="微软雅黑" w:hAnsi="微软雅黑" w:eastAsia="微软雅黑"/>
          <w:b/>
          <w:color w:val="D29922"/>
          <w:sz w:val="22"/>
        </w:rPr>
        <w:t>大资金参与度偏低，主要是散户和游资对倒放量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：成交额+31.2% vs 上证+0.35%，</w:t>
      </w:r>
      <w:r>
        <w:rPr>
          <w:rFonts w:ascii="微软雅黑" w:hAnsi="微软雅黑" w:eastAsia="微软雅黑"/>
          <w:b/>
          <w:color w:val="D29922"/>
          <w:sz w:val="22"/>
        </w:rPr>
        <w:t>量价严重背离</w:t>
      </w:r>
      <w:r>
        <w:rPr>
          <w:rFonts w:ascii="微软雅黑" w:hAnsi="微软雅黑" w:eastAsia="微软雅黑"/>
          <w:color w:val="1A1A1A"/>
          <w:sz w:val="22"/>
        </w:rPr>
        <w:t>。历史模式中，午前放量滞涨+午后回落的概率偏高，尤其当南向资金回撤后未能形成有效增量买盘。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：上涨比例71.6%尚可，但涨停仅4家，连板高度有限，</w:t>
      </w:r>
      <w:r>
        <w:rPr>
          <w:rFonts w:ascii="微软雅黑" w:hAnsi="微软雅黑" w:eastAsia="微软雅黑"/>
          <w:b/>
          <w:color w:val="D29922"/>
          <w:sz w:val="22"/>
        </w:rPr>
        <w:t>宽度虚高、高度不足</w:t>
      </w:r>
      <w:r>
        <w:rPr>
          <w:rFonts w:ascii="微软雅黑" w:hAnsi="微软雅黑" w:eastAsia="微软雅黑"/>
          <w:color w:val="1A1A1A"/>
          <w:sz w:val="22"/>
        </w:rPr>
        <w:t>，属于超跌修复型上涨，难以转化为趋势行情。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通胀数据</w:t>
      </w:r>
      <w:r>
        <w:rPr>
          <w:rFonts w:ascii="微软雅黑" w:hAnsi="微软雅黑" w:eastAsia="微软雅黑"/>
          <w:color w:val="1A1A1A"/>
          <w:sz w:val="22"/>
        </w:rPr>
        <w:t>：7月CPI同比+0.5%（前值1.0%），PPI+3.5%（前值4.1%），均明显回落。PPI降幅中约-0.65pp来自输入性油价下跌，</w:t>
      </w:r>
      <w:r>
        <w:rPr>
          <w:rFonts w:ascii="微软雅黑" w:hAnsi="微软雅黑" w:eastAsia="微软雅黑"/>
          <w:b/>
          <w:color w:val="D29922"/>
          <w:sz w:val="22"/>
        </w:rPr>
        <w:t>PPI-CPI剪刀差收窄，中下游利润空间改善，消费板块存在修复逻辑</w:t>
      </w:r>
      <w:r>
        <w:rPr>
          <w:rFonts w:ascii="微软雅黑" w:hAnsi="微软雅黑" w:eastAsia="微软雅黑"/>
          <w:color w:val="1A1A1A"/>
          <w:sz w:val="22"/>
        </w:rPr>
        <w:t>——这与今日酿酒/食品板块走强形成宏观印证。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</w:t>
      </w:r>
      <w:r>
        <w:rPr>
          <w:rFonts w:ascii="微软雅黑" w:hAnsi="微软雅黑" w:eastAsia="微软雅黑"/>
          <w:color w:val="1A1A1A"/>
          <w:sz w:val="22"/>
        </w:rPr>
        <w:t>：7月制造业PMI 49.2，5个月来首次跌破荣枯线，服务业PMI 49.3同步走弱，</w:t>
      </w:r>
      <w:r>
        <w:rPr>
          <w:rFonts w:ascii="微软雅黑" w:hAnsi="微软雅黑" w:eastAsia="微软雅黑"/>
          <w:b/>
          <w:color w:val="D29922"/>
          <w:sz w:val="22"/>
        </w:rPr>
        <w:t>实体经济动能边际转弱，但高技术制造业PMI 53.3逆势扩张，结构分化明显</w:t>
      </w:r>
      <w:r>
        <w:rPr>
          <w:rFonts w:ascii="微软雅黑" w:hAnsi="微软雅黑" w:eastAsia="微软雅黑"/>
          <w:color w:val="1A1A1A"/>
          <w:sz w:val="22"/>
        </w:rPr>
        <w:t>。当前A股大小盘分化与PMI结构分化方向一致，资金更偏好确定性而非弹性。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</w:t>
      </w:r>
      <w:r>
        <w:rPr>
          <w:rFonts w:ascii="微软雅黑" w:hAnsi="微软雅黑" w:eastAsia="微软雅黑"/>
          <w:color w:val="1A1A1A"/>
          <w:sz w:val="22"/>
        </w:rPr>
        <w:t>：LPR连续14个月不变（1年期3.0%，5年期3.5%），M2同比+8.0%仍充裕。但商业银行净息差1.4%处历史最低，进一步降息空间受约束，</w:t>
      </w:r>
      <w:r>
        <w:rPr>
          <w:rFonts w:ascii="微软雅黑" w:hAnsi="微软雅黑" w:eastAsia="微软雅黑"/>
          <w:b/>
          <w:color w:val="D29922"/>
          <w:sz w:val="22"/>
        </w:rPr>
        <w:t>政策面维持"稳而不松"，市场缺乏增量流动性催化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外部环境</w:t>
      </w:r>
      <w:r>
        <w:rPr>
          <w:rFonts w:ascii="微软雅黑" w:hAnsi="微软雅黑" w:eastAsia="微软雅黑"/>
          <w:color w:val="1A1A1A"/>
          <w:sz w:val="22"/>
        </w:rPr>
        <w:t>：隔夜美股大涨（纳指+1.4%、道指+1.18%），恒生科技+2.71%，离岸人民币升值至6.7152，</w:t>
      </w:r>
      <w:r>
        <w:rPr>
          <w:rFonts w:ascii="微软雅黑" w:hAnsi="微软雅黑" w:eastAsia="微软雅黑"/>
          <w:b/>
          <w:color w:val="D29922"/>
          <w:sz w:val="22"/>
        </w:rPr>
        <w:t>外围risk-on氛围为A股提供短期托底，但国内基本面疲态限制跟涨力度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放量滞涨风险</w:t>
      </w:r>
      <w:r>
        <w:rPr>
          <w:rFonts w:ascii="微软雅黑" w:hAnsi="微软雅黑" w:eastAsia="微软雅黑"/>
          <w:color w:val="1A1A1A"/>
          <w:sz w:val="22"/>
        </w:rPr>
        <w:t>：成交额+31.2%而指数不动，是典型的资金分歧信号，午后若量能无法持续或出现快速缩量，指数回补今日缺口的概率显著上升。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科技股踩踏</w:t>
      </w:r>
      <w:r>
        <w:rPr>
          <w:rFonts w:ascii="微软雅黑" w:hAnsi="微软雅黑" w:eastAsia="微软雅黑"/>
          <w:color w:val="1A1A1A"/>
          <w:sz w:val="22"/>
        </w:rPr>
        <w:t>：科创50加速下跌叠加浪潮信息、华虹宏力等高位半导体跌停，科技主线若不能快速止跌，将拖累市场整体风险偏好。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板块轮动失真</w:t>
      </w:r>
      <w:r>
        <w:rPr>
          <w:rFonts w:ascii="微软雅黑" w:hAnsi="微软雅黑" w:eastAsia="微软雅黑"/>
          <w:color w:val="1A1A1A"/>
          <w:sz w:val="22"/>
        </w:rPr>
        <w:t>：领涨板块从次新股/有色切换至酿酒/军工，属于防御性再平衡，若酿酒板块冲高后无新热点接力，市场将陷入无主线混沌。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南向资金反复</w:t>
      </w:r>
      <w:r>
        <w:rPr>
          <w:rFonts w:ascii="微软雅黑" w:hAnsi="微软雅黑" w:eastAsia="微软雅黑"/>
          <w:color w:val="1A1A1A"/>
          <w:sz w:val="22"/>
        </w:rPr>
        <w:t>：南向-56.6亿净流出表面利好A股，但若午后南向回流港股（净买入）或外部恒指/恒生科技冲高回落，内外资共振偏多格局将瓦解。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宏观数据疲软</w:t>
      </w:r>
      <w:r>
        <w:rPr>
          <w:rFonts w:ascii="微软雅黑" w:hAnsi="微软雅黑" w:eastAsia="微软雅黑"/>
          <w:color w:val="1A1A1A"/>
          <w:sz w:val="22"/>
        </w:rPr>
        <w:t>：PMI跌破荣枯线、CPI/PPI双降，市场中长期盈利预期承压，</w:t>
      </w:r>
      <w:r>
        <w:rPr>
          <w:rFonts w:ascii="微软雅黑" w:hAnsi="微软雅黑" w:eastAsia="微软雅黑"/>
          <w:b/>
          <w:color w:val="D29922"/>
          <w:sz w:val="22"/>
        </w:rPr>
        <w:t>当前上涨更多依赖估值情绪而非盈利驱动，持续性存疑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午后来看：核心矛盾是12340亿的巨量能否转化为有效突破。若上证维持3950上方且成交额不缩至9000亿以下，则横盘护盘延续；若缩量跌破3920，需警惕今日放量成为阶段性换手顶部。重点关注金融+消费权重能否持续吸金，以及科技股能否止跌企稳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