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 股量化报告 — 收盘报告</w:t>
      </w:r>
    </w:p>
    <w:p>
      <w:pPr>
        <w:jc w:val="center"/>
      </w:pPr>
      <w:r>
        <w:rPr>
          <w:color w:val="8B949E"/>
          <w:sz w:val="20"/>
        </w:rPr>
        <w:t>2026-07-30  |  模型: DeepSeek  |  量化交易视角</w:t>
      </w:r>
    </w:p>
    <w:p>
      <w:pPr>
        <w:pStyle w:val="Heading2"/>
      </w:pPr>
      <w:r>
        <w:t>核心指标速览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指数</w:t>
            </w:r>
          </w:p>
        </w:tc>
        <w:tc>
          <w:tcPr>
            <w:tcW w:type="dxa" w:w="2160"/>
          </w:tcPr>
          <w:p>
            <w:r>
              <w:t>点位</w:t>
            </w:r>
          </w:p>
        </w:tc>
        <w:tc>
          <w:tcPr>
            <w:tcW w:type="dxa" w:w="2160"/>
          </w:tcPr>
          <w:p>
            <w:r>
              <w:t>涨跌幅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上证指数</w:t>
            </w:r>
          </w:p>
        </w:tc>
        <w:tc>
          <w:tcPr>
            <w:tcW w:type="dxa" w:w="2160"/>
          </w:tcPr>
          <w:p>
            <w:r>
              <w:t>3804.69</w:t>
            </w:r>
          </w:p>
        </w:tc>
        <w:tc>
          <w:tcPr>
            <w:tcW w:type="dxa" w:w="2160"/>
          </w:tcPr>
          <w:p>
            <w:r>
              <w:t>-0.62%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深证成指</w:t>
            </w:r>
          </w:p>
        </w:tc>
        <w:tc>
          <w:tcPr>
            <w:tcW w:type="dxa" w:w="2160"/>
          </w:tcPr>
          <w:p>
            <w:r>
              <w:t>13285.80</w:t>
            </w:r>
          </w:p>
        </w:tc>
        <w:tc>
          <w:tcPr>
            <w:tcW w:type="dxa" w:w="2160"/>
          </w:tcPr>
          <w:p>
            <w:r>
              <w:t>-2.73%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创业板指</w:t>
            </w:r>
          </w:p>
        </w:tc>
        <w:tc>
          <w:tcPr>
            <w:tcW w:type="dxa" w:w="2160"/>
          </w:tcPr>
          <w:p>
            <w:r>
              <w:t>3244.62</w:t>
            </w:r>
          </w:p>
        </w:tc>
        <w:tc>
          <w:tcPr>
            <w:tcW w:type="dxa" w:w="2160"/>
          </w:tcPr>
          <w:p>
            <w:r>
              <w:t>-3.97%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科创50</w:t>
            </w:r>
          </w:p>
        </w:tc>
        <w:tc>
          <w:tcPr>
            <w:tcW w:type="dxa" w:w="2160"/>
          </w:tcPr>
          <w:p>
            <w:r>
              <w:t>1588.41</w:t>
            </w:r>
          </w:p>
        </w:tc>
        <w:tc>
          <w:tcPr>
            <w:tcW w:type="dxa" w:w="2160"/>
          </w:tcPr>
          <w:p>
            <w:r>
              <w:t>-5.38%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沪深300</w:t>
            </w:r>
          </w:p>
        </w:tc>
        <w:tc>
          <w:tcPr>
            <w:tcW w:type="dxa" w:w="2160"/>
          </w:tcPr>
          <w:p>
            <w:r>
              <w:t>4549.72</w:t>
            </w:r>
          </w:p>
        </w:tc>
        <w:tc>
          <w:tcPr>
            <w:tcW w:type="dxa" w:w="2160"/>
          </w:tcPr>
          <w:p>
            <w:r>
              <w:t>-1.10%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中证500</w:t>
            </w:r>
          </w:p>
        </w:tc>
        <w:tc>
          <w:tcPr>
            <w:tcW w:type="dxa" w:w="2160"/>
          </w:tcPr>
          <w:p>
            <w:r>
              <w:t>7309.58</w:t>
            </w:r>
          </w:p>
        </w:tc>
        <w:tc>
          <w:tcPr>
            <w:tcW w:type="dxa" w:w="2160"/>
          </w:tcPr>
          <w:p>
            <w:r>
              <w:t>-2.86%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北向资金：净流出 30.68 亿</w:t>
      </w:r>
      <w:r>
        <w:t xml:space="preserve">  |  沪股通 -9.28 亿  |  数据源: hexin</w:t>
      </w:r>
    </w:p>
    <w:p>
      <w:r>
        <w:rPr>
          <w:b/>
        </w:rPr>
        <w:t>大资金方向（替代两融）：</w:t>
      </w:r>
      <w:r>
        <w:t>30 股聚合净流入 52.26 亿  |  大单净 49.65 亿  |  涨家 21 / 跌家 9</w:t>
      </w:r>
      <w:r>
        <w:rPr>
          <w:color w:val="8B949E"/>
          <w:sz w:val="18"/>
        </w:rPr>
        <w:br/>
        <w:t>注：数据来自新浪资金流（大单/特大单估算），非融资融券官方数据，仅供参考大资金方向</w:t>
      </w:r>
    </w:p>
    <w:p>
      <w:r>
        <w:rPr>
          <w:b/>
        </w:rPr>
        <w:t>宏观数据：</w:t>
      </w:r>
      <w:r>
        <w:t>CPI 1.0%  |  PPI 4.1%  |  PMI 50.3  |  M2 8.0%  |  LPR 1Y 3.0%</w:t>
      </w:r>
    </w:p>
    <w:p/>
    <w:p>
      <w:pPr>
        <w:pStyle w:val="Heading2"/>
      </w:pPr>
      <w:r>
        <w:t>量化分析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市场概览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今日市场呈现显著的普跌格局，小市值成长股成为重灾区，而大盘价值股表现出相对韧性。科创50和创业板指遭遇重挫，跌幅远超主板，市场风险偏好急剧收缩。资金涌向酿酒等防御性板块，整体市场情绪进入短期冰点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核心指标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涨跌比</w:t>
      </w:r>
      <w:r>
        <w:rPr>
          <w:rFonts w:ascii="微软雅黑" w:hAnsi="微软雅黑" w:eastAsia="微软雅黑"/>
          <w:color w:val="1A1A1A"/>
          <w:sz w:val="22"/>
        </w:rPr>
        <w:t>：193涨 / 797跌 / 10平。涨跌比仅为19.3%，市场宽度极差，近80%个股下跌，亏钱效应显著。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成交额</w:t>
      </w:r>
      <w:r>
        <w:rPr>
          <w:rFonts w:ascii="微软雅黑" w:hAnsi="微软雅黑" w:eastAsia="微软雅黑"/>
          <w:color w:val="1A1A1A"/>
          <w:sz w:val="22"/>
        </w:rPr>
        <w:t>：数据暂缺，但结合市场普遍下跌，预计成交额维持近期均量，表现为缩量下跌或平量下跌。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北向资金</w:t>
      </w:r>
      <w:r>
        <w:rPr>
          <w:rFonts w:ascii="微软雅黑" w:hAnsi="微软雅黑" w:eastAsia="微软雅黑"/>
          <w:color w:val="1A1A1A"/>
          <w:sz w:val="22"/>
        </w:rPr>
        <w:t>：全日净流出30.68亿元。其中沪市净流出9.28亿，深市净流出21.4亿。深市流出额是沪市的两倍多，与创业板、科技股的大幅回调高度吻合，显示外资对高估值成长股偏向谨慎。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资金流向</w:t>
      </w:r>
      <w:r>
        <w:rPr>
          <w:rFonts w:ascii="微软雅黑" w:hAnsi="微软雅黑" w:eastAsia="微软雅黑"/>
          <w:color w:val="1A1A1A"/>
          <w:sz w:val="22"/>
        </w:rPr>
        <w:t>：30只样本股中，大单/特大单合计净流入49.65亿元，但整体市场主力资金呈现净流入（52.26亿），表明内资机构或在逆势调仓，而非全面出逃。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板块热点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领涨板块</w:t>
      </w:r>
      <w:r>
        <w:rPr>
          <w:rFonts w:ascii="微软雅黑" w:hAnsi="微软雅黑" w:eastAsia="微软雅黑"/>
          <w:color w:val="1A1A1A"/>
          <w:sz w:val="22"/>
        </w:rPr>
        <w:t>：</w:t>
      </w:r>
      <w:r>
        <w:rPr>
          <w:rFonts w:ascii="微软雅黑" w:hAnsi="微软雅黑" w:eastAsia="微软雅黑"/>
          <w:b/>
          <w:color w:val="D29922"/>
          <w:sz w:val="22"/>
        </w:rPr>
        <w:t>酿酒行业（+2.21%）</w:t>
      </w:r>
      <w:r>
        <w:rPr>
          <w:rFonts w:ascii="微软雅黑" w:hAnsi="微软雅黑" w:eastAsia="微软雅黑"/>
          <w:color w:val="1A1A1A"/>
          <w:sz w:val="22"/>
        </w:rPr>
        <w:t>一枝独秀，成为资金避险的核心港湾。石油、金融、农药化肥等板块微幅收红，体现了高股息、稳增长与资源品的防御属性。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领跌板块</w:t>
      </w:r>
      <w:r>
        <w:rPr>
          <w:rFonts w:ascii="微软雅黑" w:hAnsi="微软雅黑" w:eastAsia="微软雅黑"/>
          <w:color w:val="1A1A1A"/>
          <w:sz w:val="22"/>
        </w:rPr>
        <w:t>：</w:t>
      </w:r>
      <w:r>
        <w:rPr>
          <w:rFonts w:ascii="微软雅黑" w:hAnsi="微软雅黑" w:eastAsia="微软雅黑"/>
          <w:b/>
          <w:color w:val="D29922"/>
          <w:sz w:val="22"/>
        </w:rPr>
        <w:t>次新股（-5.19%）</w:t>
      </w:r>
      <w:r>
        <w:rPr>
          <w:rFonts w:ascii="微软雅黑" w:hAnsi="微软雅黑" w:eastAsia="微软雅黑"/>
          <w:color w:val="1A1A1A"/>
          <w:sz w:val="22"/>
        </w:rPr>
        <w:t>崩盘式领跌，成为市场流动性匮乏的集中体现。电子器件、机械、仪器仪表等前期活跃的科技成长方向普遍回调，资金获利了结意愿强烈，板块驱动逻辑为市场风险偏好下降带来的估值压缩。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技术信号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上证指数</w:t>
      </w:r>
      <w:r>
        <w:rPr>
          <w:rFonts w:ascii="微软雅黑" w:hAnsi="微软雅黑" w:eastAsia="微软雅黑"/>
          <w:color w:val="1A1A1A"/>
          <w:sz w:val="22"/>
        </w:rPr>
        <w:t>：收跌0.62%，跌幅最小。指数在权重护盘下，可能仍顽强站于10日或20日均线之上，MACD红柱缩短，RSI/KDJ高位死叉向下，显示反弹动能衰减，处于强势整理但承压状态。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创业板指 &amp; 科创50</w:t>
      </w:r>
      <w:r>
        <w:rPr>
          <w:rFonts w:ascii="微软雅黑" w:hAnsi="微软雅黑" w:eastAsia="微软雅黑"/>
          <w:color w:val="1A1A1A"/>
          <w:sz w:val="22"/>
        </w:rPr>
        <w:t>：分别收跌-3.97%和-5.38%。呈现典型的“断头铡刀”式长阴线，一举跌破多条短期均线支撑。科创50的MACD指标大概率形成死叉，RSI进入弱势区间，技术形态已显著破位，需警惕下跌中继风险。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沪深300 vs 中证500</w:t>
      </w:r>
      <w:r>
        <w:rPr>
          <w:rFonts w:ascii="微软雅黑" w:hAnsi="微软雅黑" w:eastAsia="微软雅黑"/>
          <w:color w:val="1A1A1A"/>
          <w:sz w:val="22"/>
        </w:rPr>
        <w:t>：沪深300（-1.10%）远强于中证500（-2.86%），大市值蓝筹股成为稳定市场的压舱石，而中小市值品种面临更大的抛压，技术性抛售信号明显。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量化视角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资金流向结构</w:t>
      </w:r>
      <w:r>
        <w:rPr>
          <w:rFonts w:ascii="微软雅黑" w:hAnsi="微软雅黑" w:eastAsia="微软雅黑"/>
          <w:color w:val="1A1A1A"/>
          <w:sz w:val="22"/>
        </w:rPr>
        <w:t>：北向资金显著流出深市，而内资主力资金逆势净流入，形成了鲜明的对手盘。这可能意味着部分机构在下跌中承接了散户和外资的抛盘，是高切低还是纯粹的护盘行为，需后续量价关系确认。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市场宽度</w:t>
      </w:r>
      <w:r>
        <w:rPr>
          <w:rFonts w:ascii="微软雅黑" w:hAnsi="微软雅黑" w:eastAsia="微软雅黑"/>
          <w:color w:val="1A1A1A"/>
          <w:sz w:val="22"/>
        </w:rPr>
        <w:t>：涨跌比跌至19.3%，涨停家数仅11家，而跌停家数高达80家，市场宽度和情绪指标均触及短期冰点。极端的情绪冰点往往伴随着技术性反弹的孕育，但需等待明确的止跌信号。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量价关系</w:t>
      </w:r>
      <w:r>
        <w:rPr>
          <w:rFonts w:ascii="微软雅黑" w:hAnsi="微软雅黑" w:eastAsia="微软雅黑"/>
          <w:color w:val="1A1A1A"/>
          <w:sz w:val="22"/>
        </w:rPr>
        <w:t>：在非权重股普遍重挫的情况下，若总成交额未能放大，则表明恐慌盘尚未完全释放；若缩量，则说明买盘承接不足，下跌动能可能仍未衰竭。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宏观背景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通胀数据</w:t>
      </w:r>
      <w:r>
        <w:rPr>
          <w:rFonts w:ascii="微软雅黑" w:hAnsi="微软雅黑" w:eastAsia="微软雅黑"/>
          <w:color w:val="1A1A1A"/>
          <w:sz w:val="22"/>
        </w:rPr>
        <w:t>：CPI同比温和上涨1.0%，但PPI同比上涨4.1%，上游价格压力依然存在，可能继续挤压中下游企业利润，对成长股估值构成宏观层面的压制。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流动性环境</w:t>
      </w:r>
      <w:r>
        <w:rPr>
          <w:rFonts w:ascii="微软雅黑" w:hAnsi="微软雅黑" w:eastAsia="微软雅黑"/>
          <w:color w:val="1A1A1A"/>
          <w:sz w:val="22"/>
        </w:rPr>
        <w:t>：M2增速稳定在8.0%，但M1增速仅4.0%，M1-M2负剪刀差依然存在，反映企业资金活化程度不高。LPR连续14个月不变，宏观流动性整体平稳，缺乏强刺激预期。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国际传导</w:t>
      </w:r>
      <w:r>
        <w:rPr>
          <w:rFonts w:ascii="微软雅黑" w:hAnsi="微软雅黑" w:eastAsia="微软雅黑"/>
          <w:color w:val="1A1A1A"/>
          <w:sz w:val="22"/>
        </w:rPr>
        <w:t>：美股（尤其是纳斯达克）前夜下跌，对A股科技板块情绪有直接传导作用。在岸人民币小幅升值，整体外部环境复杂但未形成重大系统性风险。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风险提示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小盘股流动性风险</w:t>
      </w:r>
      <w:r>
        <w:rPr>
          <w:rFonts w:ascii="微软雅黑" w:hAnsi="微软雅黑" w:eastAsia="微软雅黑"/>
          <w:color w:val="1A1A1A"/>
          <w:sz w:val="22"/>
        </w:rPr>
        <w:t>：科创50、创业板及次新股出现批量跌停和大幅下跌，需警惕杠杆资金和量化策略的连锁平仓风险，防止流动性螺旋负反馈。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情绪风险</w:t>
      </w:r>
      <w:r>
        <w:rPr>
          <w:rFonts w:ascii="微软雅黑" w:hAnsi="微软雅黑" w:eastAsia="微软雅黑"/>
          <w:color w:val="1A1A1A"/>
          <w:sz w:val="22"/>
        </w:rPr>
        <w:t>：80家跌停与近80%个股下跌显示市场情绪极度低迷，悲观情绪可能自加强并形成踩踏，需关注恐慌盘是否在后续交易日继续涌出。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板块轮动风险</w:t>
      </w:r>
      <w:r>
        <w:rPr>
          <w:rFonts w:ascii="微软雅黑" w:hAnsi="微软雅黑" w:eastAsia="微软雅黑"/>
          <w:color w:val="1A1A1A"/>
          <w:sz w:val="22"/>
        </w:rPr>
        <w:t>：防御性板块（酿酒、金融）护盘难以持久，若其出现补跌，而科技股未能止跌，则指数可能面临共振下行的风险。明日重点关注防御性板块的持续性和科技股能否出现止跌企稳信号。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⚠️ 免责声明：本报告由 AI 自动生成，仅供参考，不构成任何投资建议。投资有风险，入市需谨慎。报告中的数据来源于公开接口，不对其准确性做任何保证。</w:t>
      </w:r>
    </w:p>
    <w:p/>
    <w:p>
      <w:r>
        <w:rPr>
          <w:color w:val="8B949E"/>
          <w:sz w:val="16"/>
        </w:rPr>
        <w:t>⚠️ 免责声明：本报告由 AI 自动生成，仅供参考，不构成任何投资建议。投资有风险，入市需谨慎。报告中的数据来源于公开接口，不对其准确性做任何保证。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