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2026-09-07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3926.77</w:t>
            </w:r>
          </w:p>
        </w:tc>
        <w:tc>
          <w:tcPr>
            <w:tcW w:type="dxa" w:w="2160"/>
          </w:tcPr>
          <w:p>
            <w:r>
              <w:t>-0.09%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13678.67</w:t>
            </w:r>
          </w:p>
        </w:tc>
        <w:tc>
          <w:tcPr>
            <w:tcW w:type="dxa" w:w="2160"/>
          </w:tcPr>
          <w:p>
            <w:r>
              <w:t>+1.20%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3357.58</w:t>
            </w:r>
          </w:p>
        </w:tc>
        <w:tc>
          <w:tcPr>
            <w:tcW w:type="dxa" w:w="2160"/>
          </w:tcPr>
          <w:p>
            <w:r>
              <w:t>+2.16%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1598.35</w:t>
            </w:r>
          </w:p>
        </w:tc>
        <w:tc>
          <w:tcPr>
            <w:tcW w:type="dxa" w:w="2160"/>
          </w:tcPr>
          <w:p>
            <w:r>
              <w:t>+1.33%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4557.19</w:t>
            </w:r>
          </w:p>
        </w:tc>
        <w:tc>
          <w:tcPr>
            <w:tcW w:type="dxa" w:w="2160"/>
          </w:tcPr>
          <w:p>
            <w:r>
              <w:t>+0.20%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7726.99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13.3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44.14 亿  |  大单净 44.98 亿  |  涨家 24 / 跌家 6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本时段核心变化是成长板块加速上涨与板块快速轮动并存：创业板指较上一时段加速上行2.16pp，而上证指数延续横盘，资金明显从权重切向中小盘成长。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开盘1小时，A股呈现极端分化：上证指数低开于3942.51后回落至3926.77，较上一时段无边际变化，延续横盘；深证成指、创业板指、科创50、中证500均较上一时段显著加速，创业板指涨幅达2.16%，深证成指涨幅1.20%，成长风格全面占优。市场赚钱效应集中但宽度一般，量能维持高位，短线资金博弈特征明显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指数表现</w:t>
      </w:r>
      <w:r>
        <w:rPr>
          <w:rFonts w:ascii="微软雅黑" w:hAnsi="微软雅黑" w:eastAsia="微软雅黑"/>
          <w:color w:val="1A1A1A"/>
          <w:sz w:val="22"/>
        </w:rPr>
        <w:t>：上证指数 -0.09%（较上一时段 -0.09pp，横盘延续）；深证成指 +1.20%（较上一时段 +1.20pp，加速上涨）；创业板指 +2.16%（较上一时段 +2.16pp，动能突变）；科创50 +1.33%、中证500 +0.97%，均较上一时段加速上行。权重滞涨、成长领跑的结构信号强烈。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涨跌家数</w:t>
      </w:r>
      <w:r>
        <w:rPr>
          <w:rFonts w:ascii="微软雅黑" w:hAnsi="微软雅黑" w:eastAsia="微软雅黑"/>
          <w:color w:val="1A1A1A"/>
          <w:sz w:val="22"/>
        </w:rPr>
        <w:t>：全市场上涨687家/下跌294家，上涨比例68.7%；涨停13家，跌停0家。涨跌比偏多，但涨停家数仅13家，显示局部热点而非全面做多，短线情绪集中于科技与次新。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：沪深两市合计约9418亿元，开盘1小时即接近万亿，量能处于高位。深市成交额（5033亿）显著高于沪市（4384亿），印证资金向深市成长股倾斜。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</w:t>
      </w:r>
      <w:r>
        <w:rPr>
          <w:rFonts w:ascii="微软雅黑" w:hAnsi="微软雅黑" w:eastAsia="微软雅黑"/>
          <w:color w:val="1A1A1A"/>
          <w:sz w:val="22"/>
        </w:rPr>
        <w:t>：南向资金净买入13.3亿（沪市-5.8亿、深市+19.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