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收盘报告</w:t>
      </w:r>
    </w:p>
    <w:p>
      <w:pPr>
        <w:jc w:val="center"/>
      </w:pPr>
      <w:r>
        <w:rPr>
          <w:color w:val="8B949E"/>
          <w:sz w:val="20"/>
        </w:rPr>
        <w:t>2026-09-14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3884.94</w:t>
            </w:r>
          </w:p>
        </w:tc>
        <w:tc>
          <w:tcPr>
            <w:tcW w:type="dxa" w:w="2160"/>
          </w:tcPr>
          <w:p>
            <w:r>
              <w:t>-0.08%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13384.72</w:t>
            </w:r>
          </w:p>
        </w:tc>
        <w:tc>
          <w:tcPr>
            <w:tcW w:type="dxa" w:w="2160"/>
          </w:tcPr>
          <w:p>
            <w:r>
              <w:t>-0.64%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3286.75</w:t>
            </w:r>
          </w:p>
        </w:tc>
        <w:tc>
          <w:tcPr>
            <w:tcW w:type="dxa" w:w="2160"/>
          </w:tcPr>
          <w:p>
            <w:r>
              <w:t>-1.06%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1527.80</w:t>
            </w:r>
          </w:p>
        </w:tc>
        <w:tc>
          <w:tcPr>
            <w:tcW w:type="dxa" w:w="2160"/>
          </w:tcPr>
          <w:p>
            <w:r>
              <w:t>-1.65%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4480.13</w:t>
            </w:r>
          </w:p>
        </w:tc>
        <w:tc>
          <w:tcPr>
            <w:tcW w:type="dxa" w:w="2160"/>
          </w:tcPr>
          <w:p>
            <w:r>
              <w:t>-0.67%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7569.36</w:t>
            </w:r>
          </w:p>
        </w:tc>
        <w:tc>
          <w:tcPr>
            <w:tcW w:type="dxa" w:w="2160"/>
          </w:tcPr>
          <w:p>
            <w:r>
              <w:t>-0.15%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45.6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-2.12 亿  |  大单净 -3.63 亿  |  涨家 11 / 跌家 19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本时段核心变化是：放量滞涨 + 板块快速轮动。成交额放大至16117亿（+20.4%），但上证指数仍微跌0.08%，量价出现明显背离。权重与成长明显分化：中证500仅跌0.15%，而科创50重挫1.65%、创业板跌1.06%，资金撤离高估值成长股的特征清晰。南向资金全日净买入45.6亿元，属大幅净流入区间，A股情绪反向指标偏弱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660涨/322跌/18平，上涨比例66.0%。表面看个股活跃，但涨跌停家数呈“16涨停/0跌停”的畸形结构，涨停数量偏少而上涨家数偏多，说明普涨来自小市值个股的微弱反弹，缺乏强主线引领，赚钱效应与指数形成背离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：16117亿，较上一时段（14:01）放量20.4%，全天成交显著放大。但在放量背景下指数未能转涨，量增价平为典型滞涨信号，需警惕短线分歧加大。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</w:t>
      </w:r>
      <w:r>
        <w:rPr>
          <w:rFonts w:ascii="微软雅黑" w:hAnsi="微软雅黑" w:eastAsia="微软雅黑"/>
          <w:color w:val="1A1A1A"/>
          <w:sz w:val="22"/>
        </w:rPr>
        <w:t>：港股通净买入45.64亿，较上一时段 -1.9亿边际大幅回升，全日属“大幅净流入”区间。南向大幅买入意味着内资持续南下，A股场内增量资金被分流，情绪面偏弱。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大单资金流</w:t>
      </w:r>
      <w:r>
        <w:rPr>
          <w:rFonts w:ascii="微软雅黑" w:hAnsi="微软雅黑" w:eastAsia="微软雅黑"/>
          <w:color w:val="1A1A1A"/>
          <w:sz w:val="22"/>
        </w:rPr>
        <w:t>（新浪样本）：总净额 -2.12亿，大单净额 -3.63亿，流出家数19/30。机构大单整体温和净流出，与放量滞涨相互印证。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板块热点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领涨板块</w:t>
      </w:r>
      <w:r>
        <w:rPr>
          <w:rFonts w:ascii="微软雅黑" w:hAnsi="微软雅黑" w:eastAsia="微软雅黑"/>
          <w:color w:val="1A1A1A"/>
          <w:sz w:val="22"/>
        </w:rPr>
        <w:t>：次新股（+0.83%）、摩托车（+0.26%）、医疗器械（+0.24%）、生物制药（+0.19%）。较上一时段，领涨板块被完全替换——此前是诊断服务、胶黏剂、医疗研发外包，当前变为医疗器械、摩托车、次新股。这种领涨板块的快速更替表明资金缺乏持续性主线，属于典型的轮动行情，且次新股领涨通常反映活跃资金选择筹码干净、无套牢盘的标的进行短打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领跌板块</w:t>
      </w:r>
      <w:r>
        <w:rPr>
          <w:rFonts w:ascii="微软雅黑" w:hAnsi="微软雅黑" w:eastAsia="微软雅黑"/>
          <w:color w:val="1A1A1A"/>
          <w:sz w:val="22"/>
        </w:rPr>
        <w:t>：飞机制造（-0.64%）、陶瓷行业（-0.37%）、船舶制造（-0.33%）、开发区（-0.30%）。军工类（飞机制造+船舶制造）同步走弱，与高估值成长股抛压呼应，或反映事件驱动的持续性不足。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涨幅榜特征</w:t>
      </w:r>
      <w:r>
        <w:rPr>
          <w:rFonts w:ascii="微软雅黑" w:hAnsi="微软雅黑" w:eastAsia="微软雅黑"/>
          <w:color w:val="1A1A1A"/>
          <w:sz w:val="22"/>
        </w:rPr>
        <w:t>：满坤科技（+20%）、高凯技术（+20%）、近岸蛋白（+20%）等涨停股中大量为创业板/科创板个股，且多只处于亏损状态（PE为负）。亏损股+次新股的双重属性凸显当前为纯情绪驱动，缺乏基本面支撑。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跌幅榜特征</w:t>
      </w:r>
      <w:r>
        <w:rPr>
          <w:rFonts w:ascii="微软雅黑" w:hAnsi="微软雅黑" w:eastAsia="微软雅黑"/>
          <w:color w:val="1A1A1A"/>
          <w:sz w:val="22"/>
        </w:rPr>
        <w:t>：ST卓然（-19.87%）、百迈科（-17.52%）、ST豆神（-16.85%）等重挫。ST板块和前期暴炒股的剧烈回撤显示风险偏好局部收敛，资金对高波动标的开始清算。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</w:t>
      </w:r>
      <w:r>
        <w:rPr>
          <w:rFonts w:ascii="微软雅黑" w:hAnsi="微软雅黑" w:eastAsia="微软雅黑"/>
          <w:color w:val="1A1A1A"/>
          <w:sz w:val="22"/>
        </w:rPr>
        <w:t>（3884.94，-0.08%）：较上一时段+0.15pp，横盘延续。价格未出现明显方向选择，但放量十字星形态在相对高位需谨慎。日线级别仍处于高位整理结构，关注3867开盘价附近的支撑是否有效。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深证成指</w:t>
      </w:r>
      <w:r>
        <w:rPr>
          <w:rFonts w:ascii="微软雅黑" w:hAnsi="微软雅黑" w:eastAsia="微软雅黑"/>
          <w:color w:val="1A1A1A"/>
          <w:sz w:val="22"/>
        </w:rPr>
        <w:t>（13384.72，-0.64%）：较上一时段+0.28pp，横盘偏弱。跌破短线均线粘合区后仍未有强力承接，反弹力度弱于上证。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创业板指</w:t>
      </w:r>
      <w:r>
        <w:rPr>
          <w:rFonts w:ascii="微软雅黑" w:hAnsi="微软雅黑" w:eastAsia="微软雅黑"/>
          <w:color w:val="1A1A1A"/>
          <w:sz w:val="22"/>
        </w:rPr>
        <w:t>（3286.75，-1.06%）：较上一时段+0.30pp，跌势减弱/反弹。跌幅收窄但仍处于弱势区，RSI类指标大概率在50下方运行，短线偏空未改。需观察能否重新站稳3300整数关口。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</w:t>
      </w:r>
      <w:r>
        <w:rPr>
          <w:rFonts w:ascii="微软雅黑" w:hAnsi="微软雅黑" w:eastAsia="微软雅黑"/>
          <w:color w:val="1A1A1A"/>
          <w:sz w:val="22"/>
        </w:rPr>
        <w:t>（1527.80，-1.65%）：较上一时段+0.35pp，跌势减弱/反弹。全天仍领跌，弱势格局未扭转。科创板高估值+亏损股集中，在流动性边际收紧的背景下最易承压。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中证500</w:t>
      </w:r>
      <w:r>
        <w:rPr>
          <w:rFonts w:ascii="微软雅黑" w:hAnsi="微软雅黑" w:eastAsia="微软雅黑"/>
          <w:color w:val="1A1A1A"/>
          <w:sz w:val="22"/>
        </w:rPr>
        <w:t>（7569.36，-0.15%）：较上一时段+0.39pp，表现最强。中盘股相对抗跌，资金在指数权重股与微盘股之间寻找中盘避险品种，市场风格或从“极端成长”向“均衡价值”切。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放量滞涨是今日最核心的量化信号。16117亿的成交额对应上证-0.08%、深证-0.64%，量能较上一时段放大20%以上，但指数价格未向上突破，量价背离明显。结合南向资金大幅流入，场内增量资金的实际供给偏紧，放量更多体现为分歧加大而非动能加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上涨家数660只虽占66%，但涨停仅16只，跌停为0。上涨面宽、涨停面窄，说明上涨主要由小市值微盘股（+0.1%至+0.3%区间）贡献，权重和核心成长股拖累指数。这种宽度与指数的背离往往难以持续，要么权重补涨夯实反弹，要么微盘股回落带动整体转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资金流因子</w:t>
      </w:r>
      <w:r>
        <w:rPr>
          <w:rFonts w:ascii="微软雅黑" w:hAnsi="微软雅黑" w:eastAsia="微软雅黑"/>
          <w:color w:val="1A1A1A"/>
          <w:sz w:val="22"/>
        </w:rPr>
        <w:t>：大单净流出（-3.63亿）、南向净买入（+45.64亿），两个因子共振指向A股场内大资金谨慎。龙虎榜上榜标的中，风华高科（涨幅偏离7%）、超声电子（连续20%）、逸豪新材（+32.85%）等均为题材快速拉升标的，而爱仕达（-20.44%）等连板股进入跌幅榜，高位接力意愿下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外部联动因子</w:t>
      </w:r>
      <w:r>
        <w:rPr>
          <w:rFonts w:ascii="微软雅黑" w:hAnsi="微软雅黑" w:eastAsia="微软雅黑"/>
          <w:color w:val="1A1A1A"/>
          <w:sz w:val="22"/>
        </w:rPr>
        <w:t>：恒生指数+0.38%（中等看多信号），恒生科技-0.02%（中性）、离岸人民币-0.02%（中性）。外部共识得分仅1.8（分歧），信号不可靠。恒生指数独涨而恒生科技未跟进，外资对港股蓝筹与成长的态度分化，与A股内部的权重/成长分化同构，整体指向“弃成长、守价值”的短期风格偏好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宏观背景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CPI</w:t>
      </w:r>
      <w:r>
        <w:rPr>
          <w:rFonts w:ascii="微软雅黑" w:hAnsi="微软雅黑" w:eastAsia="微软雅黑"/>
          <w:color w:val="1A1A1A"/>
          <w:sz w:val="22"/>
        </w:rPr>
        <w:t>：2026年7月CPI同比0.5%，较前值1.0%回落，核心CPI 0.9%。汽油降价10.7%主导回落，猪肉转涨4.1%提供部分对冲。通胀压力温和，不构成货币宽松的约束。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PPI</w:t>
      </w:r>
      <w:r>
        <w:rPr>
          <w:rFonts w:ascii="微软雅黑" w:hAnsi="微软雅黑" w:eastAsia="微软雅黑"/>
          <w:color w:val="1A1A1A"/>
          <w:sz w:val="22"/>
        </w:rPr>
        <w:t>：7月PPI同比3.5%，前值4.1%，回落明显。输入性因素拖累约0.65pp，国际油价下跌和高温暴雨影响开工。PPI回落对中下游制造企业利润预期转友好，但上游资源品承压。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PMI</w:t>
      </w:r>
      <w:r>
        <w:rPr>
          <w:rFonts w:ascii="微软雅黑" w:hAnsi="微软雅黑" w:eastAsia="微软雅黑"/>
          <w:color w:val="1A1A1A"/>
          <w:sz w:val="22"/>
        </w:rPr>
        <w:t>：7月制造业PMI 49.2，跌破荣枯线，5个月最低；服务业PMI 49.3同步回落。生产淡季+极端天气影响明显，但高技术制造业PMI 53.3%逆势扩张，结构分化延续。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流动性</w:t>
      </w:r>
      <w:r>
        <w:rPr>
          <w:rFonts w:ascii="微软雅黑" w:hAnsi="微软雅黑" w:eastAsia="微软雅黑"/>
          <w:color w:val="1A1A1A"/>
          <w:sz w:val="22"/>
        </w:rPr>
        <w:t>：M2同比8.0%（6月末），社融增量3.36万亿同比少增8606亿；LPR连续14个月不变（1Y 3.0%，5Y 3.5%），7天逆回购1.4%。流动性整体维持宽松，但社融增量持续少增反映实体融资需求偏弱，宽货币向宽信用传导不畅。股市层面的流动性取决于增量资金意愿，当前南向持续分流+新发基金欠佳，场内流动性边际趋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政策面</w:t>
      </w:r>
      <w:r>
        <w:rPr>
          <w:rFonts w:ascii="微软雅黑" w:hAnsi="微软雅黑" w:eastAsia="微软雅黑"/>
          <w:color w:val="1A1A1A"/>
          <w:sz w:val="22"/>
        </w:rPr>
        <w:t>：LPR维持低位、逆回购利率处于宽松区间，短期加息风险极低。但净息差1.4%创历史新低，银行让利空间有限，政策或更侧重于结构性工具而非全面降息。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量价背离风险</w:t>
      </w:r>
      <w:r>
        <w:rPr>
          <w:rFonts w:ascii="微软雅黑" w:hAnsi="微软雅黑" w:eastAsia="微软雅黑"/>
          <w:color w:val="1A1A1A"/>
          <w:sz w:val="22"/>
        </w:rPr>
        <w:t>：16117亿放量对应指数滞涨，若明日无法补涨，短线可能触发获利盘集中了结。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板块快速轮动风险</w:t>
      </w:r>
      <w:r>
        <w:rPr>
          <w:rFonts w:ascii="微软雅黑" w:hAnsi="微软雅黑" w:eastAsia="微软雅黑"/>
          <w:color w:val="1A1A1A"/>
          <w:sz w:val="22"/>
        </w:rPr>
        <w:t>：领涨板块在单一时段内被完全替换，说明资金没有可持续的主线。轮动加速往往出现在行情末段或调整前夜。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高估值成长股压力</w:t>
      </w:r>
      <w:r>
        <w:rPr>
          <w:rFonts w:ascii="微软雅黑" w:hAnsi="微软雅黑" w:eastAsia="微软雅黑"/>
          <w:color w:val="1A1A1A"/>
          <w:sz w:val="22"/>
        </w:rPr>
        <w:t>：科创50和创业板持续领跌，亏损股占涨幅榜主流，在流动性边际趋紧的环境下，高估值品种的去泡沫过程可能尚未结束。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南向资金持续分流</w:t>
      </w:r>
      <w:r>
        <w:rPr>
          <w:rFonts w:ascii="微软雅黑" w:hAnsi="微软雅黑" w:eastAsia="微软雅黑"/>
          <w:color w:val="1A1A1A"/>
          <w:sz w:val="22"/>
        </w:rPr>
        <w:t>：南向净买入45.64亿处于大幅流入区间，若未来几个交易日持续维持高水平，A股增量资金将被持续抽血，反弹持续性存疑。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ST及微盘股暴雷风险</w:t>
      </w:r>
      <w:r>
        <w:rPr>
          <w:rFonts w:ascii="微软雅黑" w:hAnsi="微软雅黑" w:eastAsia="微软雅黑"/>
          <w:color w:val="1A1A1A"/>
          <w:sz w:val="22"/>
        </w:rPr>
        <w:t>：ST卓然、ST豆神等单日重挫，微盘股一旦情绪退潮，跌停数量可能快速上升（今日已有16只跌停雏形）。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外部市场传导</w:t>
      </w:r>
      <w:r>
        <w:rPr>
          <w:rFonts w:ascii="微软雅黑" w:hAnsi="微软雅黑" w:eastAsia="微软雅黑"/>
          <w:color w:val="1A1A1A"/>
          <w:sz w:val="22"/>
        </w:rPr>
        <w:t>：美股三大指数上一时段录得0.86%-0.98%涨幅，但A股并未跟涨，反而高开走弱。若美股出现回调，A股可能缺乏缓冲。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