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2026-08-12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3936.65</w:t>
            </w:r>
          </w:p>
        </w:tc>
        <w:tc>
          <w:tcPr>
            <w:tcW w:type="dxa" w:w="2160"/>
          </w:tcPr>
          <w:p>
            <w:r>
              <w:t>+0.07%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14358.37</w:t>
            </w:r>
          </w:p>
        </w:tc>
        <w:tc>
          <w:tcPr>
            <w:tcW w:type="dxa" w:w="2160"/>
          </w:tcPr>
          <w:p>
            <w:r>
              <w:t>+0.69%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3583.22</w:t>
            </w:r>
          </w:p>
        </w:tc>
        <w:tc>
          <w:tcPr>
            <w:tcW w:type="dxa" w:w="2160"/>
          </w:tcPr>
          <w:p>
            <w:r>
              <w:t>+0.96%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1727.27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4675.53</w:t>
            </w:r>
          </w:p>
        </w:tc>
        <w:tc>
          <w:tcPr>
            <w:tcW w:type="dxa" w:w="2160"/>
          </w:tcPr>
          <w:p>
            <w:r>
              <w:t>+0.25%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8017.77</w:t>
            </w:r>
          </w:p>
        </w:tc>
        <w:tc>
          <w:tcPr>
            <w:tcW w:type="dxa" w:w="2160"/>
          </w:tcPr>
          <w:p>
            <w:r>
              <w:t>+0.63%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26800 亿（高活跃度）</w:t>
      </w:r>
    </w:p>
    <w:p>
      <w:r>
        <w:t xml:space="preserve">  沪/深偏好：沪市 41%（偏成长进攻）</w:t>
      </w:r>
    </w:p>
    <w:p>
      <w:r>
        <w:t xml:space="preserve">  南向资金：净卖出 2.8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-31.31 亿  |  大单净 -32.8 亿  |  涨家 8 / 跌家 22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A股早盘分析报告（2026-08-12 10:30）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本时段核心变化是：深成指与双创指数较上一时段加速上涨，动能由横盘转向偏好成长进攻。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微涨0.07%维持横盘，但深证成指（+0.69%）、创业板指（+0.96%）和科创50（+1.04%）较上一时段集体加速上涨。这导致市场风格明显偏向成长，大市值权重股横盘，中小市值和硬科技股获得资金流入。整体呈现"权重搭台、个股唱戏"的健康轮动格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涨跌比：738/244/18</w:t>
      </w:r>
      <w:r>
        <w:rPr>
          <w:rFonts w:ascii="微软雅黑" w:hAnsi="微软雅黑" w:eastAsia="微软雅黑"/>
          <w:color w:val="1A1A1A"/>
          <w:sz w:val="22"/>
        </w:rPr>
        <w:t>—— 上涨覆盖率高达73.8%，赚钱效应极佳。在指数微涨背景下实现如此之高的上涨家数，说明资金扩散至广泛中小盘个股，而非仅拉抬权重。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涨跌停：6家涨停/0家跌停</w:t>
      </w:r>
      <w:r>
        <w:rPr>
          <w:rFonts w:ascii="微软雅黑" w:hAnsi="微软雅黑" w:eastAsia="微软雅黑"/>
          <w:color w:val="1A1A1A"/>
          <w:sz w:val="22"/>
        </w:rPr>
        <w:t>—— 零跌停的市场情绪稳固，但涨停家数偏低，表明非连板股的超跌反弹行情，缺乏强势主线和龙头股。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成交额样本：9798亿</w:t>
      </w:r>
      <w:r>
        <w:rPr>
          <w:rFonts w:ascii="微软雅黑" w:hAnsi="微软雅黑" w:eastAsia="微软雅黑"/>
          <w:color w:val="1A1A1A"/>
          <w:sz w:val="22"/>
        </w:rPr>
        <w:t>—— 北向活跃度26800亿（较昨日同期+20.3%），外资交易量显著放大，增量资金进场的信号明确。北向参与度数据暂缺，无法确认其定价权。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三、外资监测（三维框架）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外资活跃度：高</w:t>
      </w:r>
      <w:r>
        <w:rPr>
          <w:rFonts w:ascii="微软雅黑" w:hAnsi="微软雅黑" w:eastAsia="微软雅黑"/>
          <w:color w:val="1A1A1A"/>
          <w:sz w:val="22"/>
        </w:rPr>
        <w:t>（26800亿，较昨日同期+20.3%），外资积极参与市场，为今日主要边际增量资金来源。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沪/深偏好：41%</w:t>
      </w:r>
      <w:r>
        <w:rPr>
          <w:rFonts w:ascii="微软雅黑" w:hAnsi="微软雅黑" w:eastAsia="微软雅黑"/>
          <w:color w:val="1A1A1A"/>
          <w:sz w:val="22"/>
        </w:rPr>
        <w:t>（偏成长进攻），大量外资资金流向深市，这与科创50的领涨格局一致。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南向资金：-2.75亿净流出</w:t>
      </w:r>
      <w:r>
        <w:rPr>
          <w:rFonts w:ascii="微软雅黑" w:hAnsi="微软雅黑" w:eastAsia="微软雅黑"/>
          <w:color w:val="1A1A1A"/>
          <w:sz w:val="22"/>
        </w:rPr>
        <w:t>，较上一时段和昨日同期（+16.4亿）显著反转，内资停止南下抄底港股，开始回流A股。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外部联动：分歧</w:t>
      </w:r>
      <w:r>
        <w:rPr>
          <w:rFonts w:ascii="微软雅黑" w:hAnsi="微软雅黑" w:eastAsia="微软雅黑"/>
          <w:color w:val="1A1A1A"/>
          <w:sz w:val="22"/>
        </w:rPr>
        <w:t>｜恒生科技跌0.80%（信号偏空）与A股走势背离，人民币汇率稳定。根据口诀：北向高活跃+南向净卖出+外部联动分歧=外资主导，内资暂未同步跟随，市场驱动核心为外资增量。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个股集中在智能制造、建筑装饰和部分医药领域，呈现明显的超跌反弹和概念炒作特征。炬光科技（+20%）、华瑞股份（+12.16%）等智能制造标的活跃，省广集团（+9.99%）、天龙集团（+11.44%）等AI应用概念股走强。今日无明确的行业板块轮动信号，涨幅榜前20中新股占比高（N杰理首日大涨181%），驱动因素为成长风格偏好提升和市场风险溢价收窄，而非基本面驱动。领跌板块无系统性，个股分化为主，如诚达药业（-8.99%）、新大洲A（-8.81%）均为前期获利盘回吐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五、技术信号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科创50（+1.04%）</w:t>
      </w:r>
      <w:r>
        <w:rPr>
          <w:rFonts w:ascii="微软雅黑" w:hAnsi="微软雅黑" w:eastAsia="微软雅黑"/>
          <w:color w:val="1A1A1A"/>
          <w:sz w:val="22"/>
        </w:rPr>
        <w:t>：较昨日同期+1.15pp，动能加速最显著，已有效突破MA20（1690点），MACD金叉形成，RSI从45升至62（强势但不超买），量能温和放大。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创业板指（+0.96%）</w:t>
      </w:r>
      <w:r>
        <w:rPr>
          <w:rFonts w:ascii="微软雅黑" w:hAnsi="微软雅黑" w:eastAsia="微软雅黑"/>
          <w:color w:val="1A1A1A"/>
          <w:sz w:val="22"/>
        </w:rPr>
        <w:t>：较昨日同期动能持平于0.19pp，走势弱于科创50，KDJ在50附近金叉，短线目标3600点附近。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上证指数（+0.07%）</w:t>
      </w:r>
      <w:r>
        <w:rPr>
          <w:rFonts w:ascii="微软雅黑" w:hAnsi="微软雅黑" w:eastAsia="微软雅黑"/>
          <w:color w:val="1A1A1A"/>
          <w:sz w:val="22"/>
        </w:rPr>
        <w:t>：横盘延续，成交量萎缩，存量资金博弈，上方3950点形成阻力，60日均线（3880点）有较强支撑。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量价关系健康——深市三大指数上涨伴量能放大，上证指数量能萎缩走平，资金向中小盘溢出。市场宽度极强（73.8%），这是持续上涨行情的基础，但需要警惕若连续两日宽度维持80%以上，则短线有过热风险。资金流向上，昨日大单净流出32.8亿（30只样本），中小单承接良好，今日若这一态势延续，则大资金尚未达成一致，短期仍以个股行情为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7月CPI同比+0.5%（前值1.0%）、PPI+3.5%（前值4.1%），读数回落缓解了限电和通胀倒逼政策收紧的担忧。PMI已跌破荣枯线（49.2），政策托底预期升温。M2增速8.0%处历史中位，LPR已14个月未调降（1Y 3.0%、5Y 3.5%），银行净息差仅1.4%历史最低水平，下调空间已极为有限。综合看，经济压力边际减缓（CPI/PPI回落），但未现衰退信号，政策面稳定支撑市场风险偏好修复。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八、风险提示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量价背离风险</w:t>
      </w:r>
      <w:r>
        <w:rPr>
          <w:rFonts w:ascii="微软雅黑" w:hAnsi="微软雅黑" w:eastAsia="微软雅黑"/>
          <w:color w:val="1A1A1A"/>
          <w:sz w:val="22"/>
        </w:rPr>
        <w:t>：上证指数横盘、沪市成交占比偏低，大市值权重股若无法跟涨，将限制整体指数上行空间。关注下午2点后市场能否缩量走强。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板块快速轮动风险</w:t>
      </w:r>
      <w:r>
        <w:rPr>
          <w:rFonts w:ascii="微软雅黑" w:hAnsi="微软雅黑" w:eastAsia="微软雅黑"/>
          <w:color w:val="1A1A1A"/>
          <w:sz w:val="22"/>
        </w:rPr>
        <w:t>：今日无强势主线，涨停家数（6家）偏低，若午后仍无法形成合力，明日大概率进入分化行情，警惕冲高回落。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外资行为不确定性</w:t>
      </w:r>
      <w:r>
        <w:rPr>
          <w:rFonts w:ascii="微软雅黑" w:hAnsi="微软雅黑" w:eastAsia="微软雅黑"/>
          <w:color w:val="1A1A1A"/>
          <w:sz w:val="22"/>
        </w:rPr>
        <w:t>：北向活跃度虽高，但缺乏净买入方向数据，恒生科技下行形成警示。若午后外资动向转弱，市场可能快速承压。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宏观数据时效</w:t>
      </w:r>
      <w:r>
        <w:rPr>
          <w:rFonts w:ascii="微软雅黑" w:hAnsi="微软雅黑" w:eastAsia="微软雅黑"/>
          <w:color w:val="1A1A1A"/>
          <w:sz w:val="22"/>
        </w:rPr>
        <w:t>：M2和社融数据为6月数据，8月上旬将更新7月数据，届时需关注是否有显著下行或超预期宽松信号。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