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2026-07-31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3832.98</w:t>
            </w:r>
          </w:p>
        </w:tc>
        <w:tc>
          <w:tcPr>
            <w:tcW w:type="dxa" w:w="2160"/>
          </w:tcPr>
          <w:p>
            <w:r>
              <w:t>+0.74%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13705.34</w:t>
            </w:r>
          </w:p>
        </w:tc>
        <w:tc>
          <w:tcPr>
            <w:tcW w:type="dxa" w:w="2160"/>
          </w:tcPr>
          <w:p>
            <w:r>
              <w:t>+3.16%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3408.09</w:t>
            </w:r>
          </w:p>
        </w:tc>
        <w:tc>
          <w:tcPr>
            <w:tcW w:type="dxa" w:w="2160"/>
          </w:tcPr>
          <w:p>
            <w:r>
              <w:t>+5.04%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1681.79</w:t>
            </w:r>
          </w:p>
        </w:tc>
        <w:tc>
          <w:tcPr>
            <w:tcW w:type="dxa" w:w="2160"/>
          </w:tcPr>
          <w:p>
            <w:r>
              <w:t>+5.88%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4605.26</w:t>
            </w:r>
          </w:p>
        </w:tc>
        <w:tc>
          <w:tcPr>
            <w:tcW w:type="dxa" w:w="2160"/>
          </w:tcPr>
          <w:p>
            <w:r>
              <w:t>+1.22%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7560.78</w:t>
            </w:r>
          </w:p>
        </w:tc>
        <w:tc>
          <w:tcPr>
            <w:tcW w:type="dxa" w:w="2160"/>
          </w:tcPr>
          <w:p>
            <w:r>
              <w:t>+3.44%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北向资金：净流出 30.68 亿</w:t>
      </w:r>
      <w:r>
        <w:t xml:space="preserve">  |  沪股通 -9.28 亿  |  数据源: hexin</w:t>
      </w:r>
    </w:p>
    <w:p>
      <w:r>
        <w:rPr>
          <w:b/>
        </w:rPr>
        <w:t>大资金方向（替代两融）：</w:t>
      </w:r>
      <w:r>
        <w:t>30 股聚合净流入 109.82 亿  |  大单净 110.09 亿  |  涨家 25 / 跌家 5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1.0%  |  PPI 4.1%  |  PMI 50.3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📊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市场呈现**极度亢奋的普涨格局**，上涨家数占比高达93.6%，涨停115家，零跌停，赚钱效应爆表。双创板块领涨，科创板（5.88%）与创业板（5.04%）大幅跑赢主板，市场风格明确偏向高弹性成长股。尽管指数全红，但北向资金逆势净流出，内外资分歧显著加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📈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：上涨936家 vs 下跌60家，涨跌比高达15.6:1。市场宽度达到极致，短线情绪进入高潮期。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：沪深两市半日合计成交约1.79万亿。按此推算，全天成交额将超2.8万亿，属于典型的放量攻击形态，增量资金入场迹象明显。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北向资金</w:t>
      </w:r>
      <w:r>
        <w:rPr>
          <w:rFonts w:ascii="微软雅黑" w:hAnsi="微软雅黑" w:eastAsia="微软雅黑"/>
          <w:color w:val="1A1A1A"/>
          <w:sz w:val="22"/>
        </w:rPr>
        <w:t>：半日净流出30.68亿，其中深股通流出21.4亿。指数大涨却遭外资卖出，这是今日最显著的背离信号，需警惕午后情绪回落风险。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大单资金</w:t>
      </w:r>
      <w:r>
        <w:rPr>
          <w:rFonts w:ascii="微软雅黑" w:hAnsi="微软雅黑" w:eastAsia="微软雅黑"/>
          <w:color w:val="1A1A1A"/>
          <w:sz w:val="22"/>
        </w:rPr>
        <w:t>：30家样本股大单净买入110.09亿，显示内资主力是今日行情的主要推手。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🔥 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领涨方向</w:t>
      </w:r>
      <w:r>
        <w:rPr>
          <w:rFonts w:ascii="微软雅黑" w:hAnsi="微软雅黑" w:eastAsia="微软雅黑"/>
          <w:color w:val="1A1A1A"/>
          <w:sz w:val="22"/>
        </w:rPr>
        <w:t>：</w:t>
      </w:r>
      <w:r>
        <w:rPr>
          <w:rFonts w:ascii="微软雅黑" w:hAnsi="微软雅黑" w:eastAsia="微软雅黑"/>
          <w:b/>
          <w:color w:val="D29922"/>
          <w:sz w:val="22"/>
        </w:rPr>
        <w:t>次新股板块以4.31%的涨幅一骑绝尘</w:t>
      </w:r>
      <w:r>
        <w:rPr>
          <w:rFonts w:ascii="微软雅黑" w:hAnsi="微软雅黑" w:eastAsia="微软雅黑"/>
          <w:color w:val="1A1A1A"/>
          <w:sz w:val="22"/>
        </w:rPr>
        <w:t>，电子器件（+1.14%）、电子信息（+0.83%）紧随其后。涨停榜显示，软件服务、AI应用（中文在线、昆仑万维）及半导体（和林微纳、杰华特）等品种批量涨停，资金深度介入科技成长线。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领跌方向</w:t>
      </w:r>
      <w:r>
        <w:rPr>
          <w:rFonts w:ascii="微软雅黑" w:hAnsi="微软雅黑" w:eastAsia="微软雅黑"/>
          <w:color w:val="1A1A1A"/>
          <w:sz w:val="22"/>
        </w:rPr>
        <w:t>：酿酒（-0.82%）、金融（-0.13%）、农药化肥（-0.13%）逆势收跌。传统蓝筹与防御性板块失血，资金被虹吸至高弹性赛道，市场风险偏好急剧提升。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📉 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当前缺乏动态技术指标数据，但从量价行为分析：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创业板指/科创50</w:t>
      </w:r>
      <w:r>
        <w:rPr>
          <w:rFonts w:ascii="微软雅黑" w:hAnsi="微软雅黑" w:eastAsia="微软雅黑"/>
          <w:color w:val="1A1A1A"/>
          <w:sz w:val="22"/>
        </w:rPr>
        <w:t>：半日涨幅超5%，收出接近光头的阳线，动能极强。这种跳升形态通常意味着短期加速赶顶，乖离率快速扩大。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：涨幅温和（0.74%），但已站上3830点区域。若午后量能无法持续，大盘权重股存在补涨后回落的可能性。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信号解读</w:t>
      </w:r>
      <w:r>
        <w:rPr>
          <w:rFonts w:ascii="微软雅黑" w:hAnsi="微软雅黑" w:eastAsia="微软雅黑"/>
          <w:color w:val="1A1A1A"/>
          <w:sz w:val="22"/>
        </w:rPr>
        <w:t>：指数间分化明显，双创板块的强势突破与外资流出形成技术性顶背离风险。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🔍 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：内资主力（大单）与外资（北向）形成方向性对抗。主力资金净流入109亿，与北向流出31亿形成鲜明反差，表明这是一场由内资主导的逼空行情。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：93.6%的上涨比率进入极端沸点区域。历史回测表明，该数值超过90%后的1-2个交易日内，市场短线调整概率大于60%。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：半日成交量急剧放大，属于典型的“放巨量强攻”模式。若午后指数滞涨或量能无法进一步放大，则构成短期波段高点的量价信号。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🏛 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最新宏观数据（6月/上半年）显示，CPI（+1.0%）处于低位，PPI（+4.1%）高位回落，制造业PMI（50.3）仍在扩张区间但力度偏弱，经济呈现“弱复苏”态势。在此背景下，货币政策维持宽松定调，M2增速（+8.0%）、社融增量略低于预期，LPR连续14个月未动，但7天期逆回购利率仅1.4%，市场流动性依然充裕。今日市场的大涨更多体现为充裕流动性下的风险偏好提升，而非基本面驱动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⚠️ 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北向-指数背离风险</w:t>
      </w:r>
      <w:r>
        <w:rPr>
          <w:rFonts w:ascii="微软雅黑" w:hAnsi="微软雅黑" w:eastAsia="微软雅黑"/>
          <w:color w:val="1A1A1A"/>
          <w:sz w:val="22"/>
        </w:rPr>
        <w:t>：北向资金在大涨中坚决流出是今日最强风险警示，可能预示全球资金层面的减仓动作。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情绪过热风险</w:t>
      </w:r>
      <w:r>
        <w:rPr>
          <w:rFonts w:ascii="微软雅黑" w:hAnsi="微软雅黑" w:eastAsia="微软雅黑"/>
          <w:color w:val="1A1A1A"/>
          <w:sz w:val="22"/>
        </w:rPr>
        <w:t>：93.6%的上涨比率和百股涨停为极端信号，物极必反，短线获利盘兑现压力巨大。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下午展望</w:t>
      </w:r>
      <w:r>
        <w:rPr>
          <w:rFonts w:ascii="微软雅黑" w:hAnsi="微软雅黑" w:eastAsia="微软雅黑"/>
          <w:color w:val="1A1A1A"/>
          <w:sz w:val="22"/>
        </w:rPr>
        <w:t>：预计午后开盘指数有惯性冲高动能，但难以维持上午的斜率。需重点观察北向资金流向是否逆转以及成交额能否继续放大。若两者恶化，今日极有可能出现“冲高回落”走势。**操作上，追高风险极大，应保持冷静，等待分歧释放后的信号。**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自动生成，仅供分析参考，不构成任何投资建议。投资有风险，入市需谨慎。报告中的数据来源于公开接口，不对其准确性做任何保证。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