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收盘报告</w:t>
      </w:r>
    </w:p>
    <w:p>
      <w:pPr>
        <w:jc w:val="center"/>
      </w:pPr>
      <w:r>
        <w:rPr>
          <w:color w:val="8B949E"/>
          <w:sz w:val="20"/>
        </w:rPr>
        <w:t>2026-09-07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3932.99</w:t>
            </w:r>
          </w:p>
        </w:tc>
        <w:tc>
          <w:tcPr>
            <w:tcW w:type="dxa" w:w="2160"/>
          </w:tcPr>
          <w:p>
            <w:r>
              <w:t>+0.07%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13775.02</w:t>
            </w:r>
          </w:p>
        </w:tc>
        <w:tc>
          <w:tcPr>
            <w:tcW w:type="dxa" w:w="2160"/>
          </w:tcPr>
          <w:p>
            <w:r>
              <w:t>+1.91%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3398.34</w:t>
            </w:r>
          </w:p>
        </w:tc>
        <w:tc>
          <w:tcPr>
            <w:tcW w:type="dxa" w:w="2160"/>
          </w:tcPr>
          <w:p>
            <w:r>
              <w:t>+3.40%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1615.71</w:t>
            </w:r>
          </w:p>
        </w:tc>
        <w:tc>
          <w:tcPr>
            <w:tcW w:type="dxa" w:w="2160"/>
          </w:tcPr>
          <w:p>
            <w:r>
              <w:t>+2.43%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4575.17</w:t>
            </w:r>
          </w:p>
        </w:tc>
        <w:tc>
          <w:tcPr>
            <w:tcW w:type="dxa" w:w="2160"/>
          </w:tcPr>
          <w:p>
            <w:r>
              <w:t>+0.60%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7760.31</w:t>
            </w:r>
          </w:p>
        </w:tc>
        <w:tc>
          <w:tcPr>
            <w:tcW w:type="dxa" w:w="2160"/>
          </w:tcPr>
          <w:p>
            <w:r>
              <w:t>+1.41%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13.4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44.14 亿  |  大单净 44.98 亿  |  涨家 24 / 跌家 6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A股市场收盘复盘 · 2026-09-07 15:00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本时段核心变化是：主板横盘、成长狂欢的极致分化进一步固化，科技主线持续获得资金确认，但外部信号背离与板块高速轮动并存，市场进入"结构牛、指数钝化"阶段。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一、全日综述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上证指数收于3932.99点，微涨0.07%，全天几乎原地踏步；深成指涨1.91%，创业板指强势收涨3.40%，科创50涨2.43%，资金从权重蓝筹加速溢出并集中涌入硬科技成长。两市成交额放大至19252亿元，较上一时段显著放量21.3%，较全日表现为量价齐升但结构极端——主板的"踏空感"与创业板的"过热感"形成尖锐对照。当前市场状态可概括为：指数钝化+题材加速轮动+量能充分释放的复合形态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全市场上涨680家/下跌300家/平盘20家，涨跌比2.27:1，表面看赚钱效应尚可，但涨停32家对跌停仅2家，涨停家数相对成交规模偏少，说明资金并未铺开广度，而是集中在少数科技分支做高弹性博弈。更关键的是，指数层面上证仅微涨、沪深300仅+0.60%，而中证500涨1.41%、创业板涨3.40%，这是典型的资金弃旧逐新格局——增量资金不选权重、只进攻成长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成交额：</w:t>
      </w:r>
      <w:r>
        <w:rPr>
          <w:rFonts w:ascii="微软雅黑" w:hAnsi="微软雅黑" w:eastAsia="微软雅黑"/>
          <w:color w:val="1A1A1A"/>
          <w:sz w:val="22"/>
        </w:rPr>
        <w:t>19252亿元（较上一时段+21.3%放量），量能已进入活跃区间，但注意主板指数几乎不涨，大量成交集中于科技中小盘，需警惕放量滞涨对应的结构性泡沫累积。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涨跌比：</w:t>
      </w:r>
      <w:r>
        <w:rPr>
          <w:rFonts w:ascii="微软雅黑" w:hAnsi="微软雅黑" w:eastAsia="微软雅黑"/>
          <w:color w:val="1A1A1A"/>
          <w:sz w:val="22"/>
        </w:rPr>
        <w:t>2.27:1（68%上涨），与创业板3.4%的强势不匹配——涨幅分布并非普涨，而是局部暴力拉升。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均换手率：</w:t>
      </w:r>
      <w:r>
        <w:rPr>
          <w:rFonts w:ascii="微软雅黑" w:hAnsi="微软雅黑" w:eastAsia="微软雅黑"/>
          <w:color w:val="1A1A1A"/>
          <w:sz w:val="22"/>
        </w:rPr>
        <w:t>3.98%（中位数成交额9607万），流动性充裕但非极致亢奋。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南向资金（外资监测）：</w:t>
      </w:r>
      <w:r>
        <w:rPr>
          <w:rFonts w:ascii="微软雅黑" w:hAnsi="微软雅黑" w:eastAsia="微软雅黑"/>
          <w:color w:val="1A1A1A"/>
          <w:sz w:val="22"/>
        </w:rPr>
        <w:t>净买入13.4亿元，较上一时段小幅增加0.7亿。南向资金净买入但规模不大，暂不构成"情绪偏弱"的强力反向信号，属于中性偏弱——内资仍有部分南下，但未大幅撤离A股。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外部联动：</w:t>
      </w:r>
      <w:r>
        <w:rPr>
          <w:rFonts w:ascii="微软雅黑" w:hAnsi="微软雅黑" w:eastAsia="微软雅黑"/>
          <w:color w:val="1A1A1A"/>
          <w:sz w:val="22"/>
        </w:rPr>
        <w:t>恒生科技-0.71%、恒生指数-0.74%，离岸人民币微贬0.01%。三者方向一致偏空，外部共识评分-3.6（看空，置信度中等），与A股科技狂欢形成显著背离。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四、板块热点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领涨：</w:t>
      </w:r>
      <w:r>
        <w:rPr>
          <w:rFonts w:ascii="微软雅黑" w:hAnsi="微软雅黑" w:eastAsia="微软雅黑"/>
          <w:color w:val="1A1A1A"/>
          <w:sz w:val="22"/>
        </w:rPr>
        <w:t>次新股（+2.28%）、电子器件（+0.87%）、机械行业（+0.57%）、玻璃行业（+0.41%）。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领跌：</w:t>
      </w:r>
      <w:r>
        <w:rPr>
          <w:rFonts w:ascii="微软雅黑" w:hAnsi="微软雅黑" w:eastAsia="微软雅黑"/>
          <w:color w:val="1A1A1A"/>
          <w:sz w:val="22"/>
        </w:rPr>
        <w:t>酿酒行业（-0.43%）、金融行业（-0.24%）、飞机制造（-0.22%）、煤炭行业（-0.15%）。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驱动逻辑：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次新股领涨</w:t>
      </w:r>
      <w:r>
        <w:rPr>
          <w:rFonts w:ascii="微软雅黑" w:hAnsi="微软雅黑" w:eastAsia="微软雅黑"/>
          <w:color w:val="1A1A1A"/>
          <w:sz w:val="22"/>
        </w:rPr>
        <w:t>——新股N杰锋（+34.66%）、N天博（+33.25%）无涨跌幅限制暴涨，叠加资金对题材高弹性的追逐，但次新股是典型的游资博弈品种，持续性差且见顶信号快速。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电子器件+机械行业接棒</w:t>
      </w:r>
      <w:r>
        <w:rPr>
          <w:rFonts w:ascii="微软雅黑" w:hAnsi="微软雅黑" w:eastAsia="微软雅黑"/>
          <w:color w:val="1A1A1A"/>
          <w:sz w:val="22"/>
        </w:rPr>
        <w:t>——较上一时段板块领涨完全替换（原为印制电路板、元件、其他种植业），科技细分内部轮动加速，说明资金在科技大方向内不断寻找新的边际催化，而非持续抱团单一分支。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酿酒/金融领跌</w:t>
      </w:r>
      <w:r>
        <w:rPr>
          <w:rFonts w:ascii="微软雅黑" w:hAnsi="微软雅黑" w:eastAsia="微软雅黑"/>
          <w:color w:val="1A1A1A"/>
          <w:sz w:val="22"/>
        </w:rPr>
        <w:t>——红利、蓝筹持续被抽血，旧经济完全失血，资金短期内对低估值防御板块无兴趣。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⚠️ 警示：板块快速轮动在一天之内发生领涨替换，说明市场缺乏稳定的主线共识，资金追逐当日热点、然后快速切换，这是典型的情绪驱动和博弈市特征，追高风险极大。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上证指数：</w:t>
      </w:r>
      <w:r>
        <w:rPr>
          <w:rFonts w:ascii="微软雅黑" w:hAnsi="微软雅黑" w:eastAsia="微软雅黑"/>
          <w:color w:val="1A1A1A"/>
          <w:sz w:val="22"/>
        </w:rPr>
        <w:t>收于3932.99，价格几乎平在昨日收盘附近，量能在成长板块集中放大而非主板。从趋势看仍守在多条均线上方，但日线连续多日横盘，动能逐步收敛，MACD红柱可能走平，RSI在50-55区间钝化，方向未明。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深证成指：</w:t>
      </w:r>
      <w:r>
        <w:rPr>
          <w:rFonts w:ascii="微软雅黑" w:hAnsi="微软雅黑" w:eastAsia="微软雅黑"/>
          <w:color w:val="1A1A1A"/>
          <w:sz w:val="22"/>
        </w:rPr>
        <w:t>收于13775.02，涨1.91%，明显强于上证，价格重新站上短期均线，量价配合理想，短期技术面修复转强。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创业板指：</w:t>
      </w:r>
      <w:r>
        <w:rPr>
          <w:rFonts w:ascii="微软雅黑" w:hAnsi="微软雅黑" w:eastAsia="微软雅黑"/>
          <w:color w:val="1A1A1A"/>
          <w:sz w:val="22"/>
        </w:rPr>
        <w:t>收于3398.34，涨3.40%，呈加速上攻形态，均线多头排列，MACD红柱有望继续放大，RSI升至65-70偏强区间但尚未极端超买，KDJ高位钝化。量价关系健康，无背离迹象，但需关注3400点上方抛压。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科创50：</w:t>
      </w:r>
      <w:r>
        <w:rPr>
          <w:rFonts w:ascii="微软雅黑" w:hAnsi="微软雅黑" w:eastAsia="微软雅黑"/>
          <w:color w:val="1A1A1A"/>
          <w:sz w:val="22"/>
        </w:rPr>
        <w:t>收于1615.71，涨2.43%，延续强势但涨幅略收窄于创业板，仍处上行通道，重点看1630前高能否有效突破。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六、量化视角 · 量价与资金流向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量价关系：</w:t>
      </w:r>
      <w:r>
        <w:rPr>
          <w:rFonts w:ascii="微软雅黑" w:hAnsi="微软雅黑" w:eastAsia="微软雅黑"/>
          <w:color w:val="1A1A1A"/>
          <w:sz w:val="22"/>
        </w:rPr>
        <w:t>成交额放大21.3%，指数涨幅边际变化仅+0.02~0.11pp，量能放大幅显著大于指数涨幅变化，显示出强烈的资金换手行为。资金流样本显示：大单/特大单净流入合计44.98亿元，流入家数24/流出6，大资金在关键科技标的上仍在加仓，但集中度极高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市场宽度：</w:t>
      </w:r>
      <w:r>
        <w:rPr>
          <w:rFonts w:ascii="微软雅黑" w:hAnsi="微软雅黑" w:eastAsia="微软雅黑"/>
          <w:color w:val="1A1A1A"/>
          <w:sz w:val="22"/>
        </w:rPr>
        <w:t>68%的上涨占比与创业板3.4%的涨幅不匹配，市场宽度并未完全打开。如果宽度不能继续扩大，单靠少数权重科技股拉抬，指数持续性将承压。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龙虎榜信号：</w:t>
      </w:r>
      <w:r>
        <w:rPr>
          <w:rFonts w:ascii="微软雅黑" w:hAnsi="微软雅黑" w:eastAsia="微软雅黑"/>
          <w:color w:val="1A1A1A"/>
          <w:sz w:val="22"/>
        </w:rPr>
        <w:t>欢瑞世纪（+20.36%、换手率43.85%）等游资标的持续上榜，资金高度活跃；冀衡医药连续三日跌幅偏离累计达20%，出现崩跌个股拖累信号。投机的贪婪与恐慌并存，市场情绪表面亢奋但内在稳定性差。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七、宏观背景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CPI同比0.5%（7月）：</w:t>
      </w:r>
      <w:r>
        <w:rPr>
          <w:rFonts w:ascii="微软雅黑" w:hAnsi="微软雅黑" w:eastAsia="微软雅黑"/>
          <w:color w:val="1A1A1A"/>
          <w:sz w:val="22"/>
        </w:rPr>
        <w:t>涨幅回落，核心CPI仅0.9%，需求侧仍偏弱。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PPI同比3.5%（7月）：</w:t>
      </w:r>
      <w:r>
        <w:rPr>
          <w:rFonts w:ascii="微软雅黑" w:hAnsi="微软雅黑" w:eastAsia="微软雅黑"/>
          <w:color w:val="1A1A1A"/>
          <w:sz w:val="22"/>
        </w:rPr>
        <w:t>较前值4.1%明显回落，输入性通胀缓解。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制造业PMI 49.2：</w:t>
      </w:r>
      <w:r>
        <w:rPr>
          <w:rFonts w:ascii="微软雅黑" w:hAnsi="微软雅黑" w:eastAsia="微软雅黑"/>
          <w:color w:val="1A1A1A"/>
          <w:sz w:val="22"/>
        </w:rPr>
        <w:t>跌破荣枯线，生产淡季+极端天气拖累，经济内生复苏动能仍不稳固。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LPR利率：</w:t>
      </w:r>
      <w:r>
        <w:rPr>
          <w:rFonts w:ascii="微软雅黑" w:hAnsi="微软雅黑" w:eastAsia="微软雅黑"/>
          <w:color w:val="1A1A1A"/>
          <w:sz w:val="22"/>
        </w:rPr>
        <w:t>1年期3.0%、5年期3.5%，连续14个月不变，但7天逆回购已降至1.4%，总量宽松方向未变。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M2同比8.0%，社融同比7.4%：</w:t>
      </w:r>
      <w:r>
        <w:rPr>
          <w:rFonts w:ascii="微软雅黑" w:hAnsi="微软雅黑" w:eastAsia="微软雅黑"/>
          <w:color w:val="1A1A1A"/>
          <w:sz w:val="22"/>
        </w:rPr>
        <w:t>流动性环境整体充裕，剩余流动性对成长风格形成支撑。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结合市场：</w:t>
      </w:r>
      <w:r>
        <w:rPr>
          <w:rFonts w:ascii="微软雅黑" w:hAnsi="微软雅黑" w:eastAsia="微软雅黑"/>
          <w:color w:val="1A1A1A"/>
          <w:sz w:val="22"/>
        </w:rPr>
        <w:t>经济基本面弱、通胀低位、货币环境宽松，该组合历史上典型的受益资产是科技成长而非顺周期。创业板/科创板持续强于主板的背后，本质上是"弱复苏+高流动性"下的风格偏好自我强化。但CPI持续低位、PMI跌破荣枯线也意味着业绩端难以接棒，上涨更多是估值驱动，这一点需要保持清醒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八、风险提示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板块轮动加速：</w:t>
      </w:r>
      <w:r>
        <w:rPr>
          <w:rFonts w:ascii="微软雅黑" w:hAnsi="微软雅黑" w:eastAsia="微软雅黑"/>
          <w:color w:val="1A1A1A"/>
          <w:sz w:val="22"/>
        </w:rPr>
        <w:t>一日之内出现领涨板块完全替换，显示市场缺乏坚定的主线共识，任何单一方向的高位追买都面临随时被切换的风险。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外部系统性信号背离：</w:t>
      </w:r>
      <w:r>
        <w:rPr>
          <w:rFonts w:ascii="微软雅黑" w:hAnsi="微软雅黑" w:eastAsia="微软雅黑"/>
          <w:color w:val="1A1A1A"/>
          <w:sz w:val="22"/>
        </w:rPr>
        <w:t>恒生科技/恒生指数/离岸人民币同时偏空，与A股科技大涨严重背离。外部资金对风险的判断可能领先，这种背离通常无法长期持续。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结构过热与指数钝化并存：</w:t>
      </w:r>
      <w:r>
        <w:rPr>
          <w:rFonts w:ascii="微软雅黑" w:hAnsi="微软雅黑" w:eastAsia="微软雅黑"/>
          <w:color w:val="1A1A1A"/>
          <w:sz w:val="22"/>
        </w:rPr>
        <w:t>主板横盘、创业板暴力拉升，资金高度集中在少数科技高标，一旦这些核心个股见顶回落，市场缺乏足够的防守厚度。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次新股爆炒退潮风险：</w:t>
      </w:r>
      <w:r>
        <w:rPr>
          <w:rFonts w:ascii="微软雅黑" w:hAnsi="微软雅黑" w:eastAsia="微软雅黑"/>
          <w:color w:val="1A1A1A"/>
          <w:sz w:val="22"/>
        </w:rPr>
        <w:t>N字头新股单日涨幅超过30%，这是情绪到达阶段性顶点时的典型表现，历史上往往是短线见顶的领先信号。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明日警示信号：</w:t>
      </w:r>
      <w:r>
        <w:rPr>
          <w:rFonts w:ascii="微软雅黑" w:hAnsi="微软雅黑" w:eastAsia="微软雅黑"/>
          <w:color w:val="1A1A1A"/>
          <w:sz w:val="22"/>
        </w:rPr>
        <w:t>若明日成交额显著萎缩（</w:t>
      </w:r>
      <w:r>
        <w:rPr>
          <w:rFonts w:ascii="微软雅黑" w:hAnsi="微软雅黑" w:eastAsia="微软雅黑"/>
          <w:color w:val="1A1A1A"/>
          <w:sz w:val="22"/>
        </w:rPr>
        <w:t>&lt;</w:t>
      </w:r>
      <w:r>
        <w:rPr>
          <w:rFonts w:ascii="微软雅黑" w:hAnsi="微软雅黑" w:eastAsia="微软雅黑"/>
          <w:color w:val="1A1A1A"/>
          <w:sz w:val="22"/>
        </w:rPr>
        <w:t>17000亿）且创业板首次出现量价背离（指数新高但大单净流出），则应以防守为主；若成交继续放大且主板跟涨、上证站上3950，则结构性行情有望延续。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