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3957.98</w:t>
            </w:r>
          </w:p>
        </w:tc>
        <w:tc>
          <w:tcPr>
            <w:tcW w:type="dxa" w:w="2160"/>
          </w:tcPr>
          <w:p>
            <w:r>
              <w:t>+0.42%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13638.77</w:t>
            </w:r>
          </w:p>
        </w:tc>
        <w:tc>
          <w:tcPr>
            <w:tcW w:type="dxa" w:w="2160"/>
          </w:tcPr>
          <w:p>
            <w:r>
              <w:t>+0.20%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3318.00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1611.49</w:t>
            </w:r>
          </w:p>
        </w:tc>
        <w:tc>
          <w:tcPr>
            <w:tcW w:type="dxa" w:w="2160"/>
          </w:tcPr>
          <w:p>
            <w:r>
              <w:t>-0.38%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4571.98</w:t>
            </w:r>
          </w:p>
        </w:tc>
        <w:tc>
          <w:tcPr>
            <w:tcW w:type="dxa" w:w="2160"/>
          </w:tcPr>
          <w:p>
            <w:r>
              <w:t>+0.53%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7740.61</w:t>
            </w:r>
          </w:p>
        </w:tc>
        <w:tc>
          <w:tcPr>
            <w:tcW w:type="dxa" w:w="2160"/>
          </w:tcPr>
          <w:p>
            <w:r>
              <w:t>+0.15%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25.9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-39.24 亿  |  大单净 -35.79 亿  |  涨家 4 / 跌家 26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A股早盘分析报告（10:30时点）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一句话点睛：本时段核心变化是"权重拉指数、个股普跌"，指数涨幅与市场宽度严重背离，动能衰竭信号已现。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A股呈典型"指数失真"格局：上证指数在上证50/沪深300权重股拉动下加速上行（+0.42%，较上一时段+0.42pp），但深证成指、创业板指、中证500均高开低走，科创50逆势加速下跌（-0.38%，较上一时段-0.38pp）。200个板块中仅48个上涨、149个下跌，上涨比率仅24%，市场真实赚钱效应极差。较昨日同期看，深证成指+2.25pp、创业板指+2.77pp、中证500+2.02pp的"加速上涨"实为从深度负值修复至微涨，动能突变的本质是超跌反抽而非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：上涨48 / 下跌149 / 平3，上涨比率仅24%，涨停1家、跌停2家——指数上涨但近3/4板块下跌，宽度数据揭示"赚指数不赚钱"的结构性割裂。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：8070亿，较昨日同期缩量13.2%——指数上行伴随量能萎缩，属典型量价背离，反弹内生动力不足。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南向资金（港股通）</w:t>
      </w:r>
      <w:r>
        <w:rPr>
          <w:rFonts w:ascii="微软雅黑" w:hAnsi="微软雅黑" w:eastAsia="微软雅黑"/>
          <w:color w:val="1A1A1A"/>
          <w:sz w:val="22"/>
        </w:rPr>
        <w:t>：净买入25.92亿（其中沪港通6.37亿、深港通19.55亿），尚未突破30亿"大幅净买入"阈值，但净流入方向为偏A股情绪的反向信号。深市部分19.55亿相对偏大，中小盘资金关注度或部分转移至港股。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：恒生指数+0.44%（看多），但恒生科技-0.03%（中性）、离岸人民币+0.00%（中性），外部共识得分由上一时段+3.6骤降至+1.8，置信度从中等转为分歧——外资方向信号不可靠，以内盘量价为准。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板块快速轮动预警</w:t>
      </w:r>
      <w:r>
        <w:rPr>
          <w:rFonts w:ascii="微软雅黑" w:hAnsi="微软雅黑" w:eastAsia="微软雅黑"/>
          <w:color w:val="1A1A1A"/>
          <w:sz w:val="22"/>
        </w:rPr>
        <w:t>：较上一时段，领涨板块被完全替换——金融行业、陶瓷行业、纺织机械接替传媒娱乐、船舶制造、玻璃行业上位。这种高频率轮动本质是存量资金短期博弈，缺乏主线持续性。领先板块中，金融行业（+0.30%）对指数拉动贡献最大，但其自身驱动因素并不清晰，更多体现为护盘/防御性配置行为；陶瓷行业（+1.12%）延续昨日热度但体量偏小，影响力有限。领跌方向上，次新股（-0.28%）、玻璃行业（-0.27%）、电子器件（-0.20%）均与昨日强势板块重叠，显示前期热点正遭遇资金获利了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数据未提供MA/MACD/RSI/KDJ具体数值，以下基于量价结构做技术推断：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：开盘3952.79，现价3957.98，微幅高开后走强，短线动能偏多，但需警惕3960上方抛压；价涨量缩显示上攻配合度不足。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深证成指/创业板指</w:t>
      </w:r>
      <w:r>
        <w:rPr>
          <w:rFonts w:ascii="微软雅黑" w:hAnsi="微软雅黑" w:eastAsia="微软雅黑"/>
          <w:color w:val="1A1A1A"/>
          <w:sz w:val="22"/>
        </w:rPr>
        <w:t>：均高开低走（深成指开盘13711.07→现13638.77，低走72点；创业板指开盘3342.09→现3318.00，低走24点），形态上留出上影线，短线承压。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：开盘1634.52→现1611.49，跌幅-0.38%，较上一时段仍处于加速下跌，是所有指数中最弱环节，反映高估值科技类资产抛压未止。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</w:t>
      </w:r>
      <w:r>
        <w:rPr>
          <w:rFonts w:ascii="微软雅黑" w:hAnsi="微软雅黑" w:eastAsia="微软雅黑"/>
          <w:color w:val="1A1A1A"/>
          <w:sz w:val="22"/>
        </w:rPr>
        <w:t>：基本平开微涨至4571.98，是今日指数上行主引擎，但其动能主要依赖权重股，不具备广泛性。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背离判断</w:t>
      </w:r>
      <w:r>
        <w:rPr>
          <w:rFonts w:ascii="微软雅黑" w:hAnsi="微软雅黑" w:eastAsia="微软雅黑"/>
          <w:color w:val="1A1A1A"/>
          <w:sz w:val="22"/>
        </w:rPr>
        <w:t>：上证/沪深300与科创50/深成指之间形成显著分化，主板强、中小盘弱的跷跷板格局判断为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：指数涨幅收窄、成交量萎缩、市场宽度恶化三重叠加，短期反弹动能难以持续。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：30只样本股大单/特大单净流出39.24亿，仅4只流入、26只流出——大资金方向与指数上涨方向背离，机构资金在拉高过程中以派发为主，量价关系恶劣。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：上涨比率24%为极低水平，指数涨幅主要由权重股贡献。沪深300（+0.53%）远跑赢中证500（+0.15%）与整个市场宽度，集中度风险高企。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南向与外部背离</w:t>
      </w:r>
      <w:r>
        <w:rPr>
          <w:rFonts w:ascii="微软雅黑" w:hAnsi="微软雅黑" w:eastAsia="微软雅黑"/>
          <w:color w:val="1A1A1A"/>
          <w:sz w:val="22"/>
        </w:rPr>
        <w:t>：南向净买入（偏空A股信息）+外部联动分歧（信号降级），按分析框架属于"分歧加大，以内盘量价为准"——而内盘量价恰恰显示大资金净流出、缩量上行，因此客观信号偏谨慎。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最新宏观数据（截至2026年7-8月）显示经济复苏动能偏弱：7月CPI同比+0.5%（回落0.5pp，汽油降价10.7%拖累）、PPI同比+3.5%（回落0.6pp，国际油价下行+施工淡季影响）；制造业PMI 49.2跌破荣枯线（5个月最低），服务业49.3同步回落，仅高技术制造业PMI（53.3%）逆势扩张。货币端M2同比+8.0%、M1仅+4.0%，剪刀差仍存，资金活化程度不高；LPR连续14个月维持（1年期3.0%/5年期3.5%），银行净息差1.4%处于历史最低。整体流动性"宽而不转"，政策面暂无新增量刺激信号，与当前市场缩量、板块快速轮动的微观结构形成印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：指数上涨伴随缩量13.2%，若午盘无法放量跟进，反弹大概率回归弱势震荡。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市场宽度极差</w:t>
      </w:r>
      <w:r>
        <w:rPr>
          <w:rFonts w:ascii="微软雅黑" w:hAnsi="微软雅黑" w:eastAsia="微软雅黑"/>
          <w:color w:val="1A1A1A"/>
          <w:sz w:val="22"/>
        </w:rPr>
        <w:t>：24%上涨率叠加资金净流出，典型"指数掩护个股派发"特征，普通投资者持仓体验可能显著劣于指数表现。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：领涨板块完全替换意味着追涨风险极高，任何单一方向都缺乏持续性。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科创50加速下跌</w:t>
      </w:r>
      <w:r>
        <w:rPr>
          <w:rFonts w:ascii="微软雅黑" w:hAnsi="微软雅黑" w:eastAsia="微软雅黑"/>
          <w:color w:val="1A1A1A"/>
          <w:sz w:val="22"/>
        </w:rPr>
        <w:t>：高估值科技方向抛压未释放完毕，可能继续拖累中小盘情绪。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南向净买入趋势</w:t>
      </w:r>
      <w:r>
        <w:rPr>
          <w:rFonts w:ascii="微软雅黑" w:hAnsi="微软雅黑" w:eastAsia="微软雅黑"/>
          <w:color w:val="1A1A1A"/>
          <w:sz w:val="22"/>
        </w:rPr>
        <w:t>：若港股通持续净流入超过30亿阈值，需警惕内资系统性分流至港股。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