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2026-08-13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3960.64</w:t>
            </w:r>
          </w:p>
        </w:tc>
        <w:tc>
          <w:tcPr>
            <w:tcW w:type="dxa" w:w="2160"/>
          </w:tcPr>
          <w:p>
            <w:r>
              <w:t>+0.35%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14548.50</w:t>
            </w:r>
          </w:p>
        </w:tc>
        <w:tc>
          <w:tcPr>
            <w:tcW w:type="dxa" w:w="2160"/>
          </w:tcPr>
          <w:p>
            <w:r>
              <w:t>+0.93%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3669.07</w:t>
            </w:r>
          </w:p>
        </w:tc>
        <w:tc>
          <w:tcPr>
            <w:tcW w:type="dxa" w:w="2160"/>
          </w:tcPr>
          <w:p>
            <w:r>
              <w:t>+1.86%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1771.55</w:t>
            </w:r>
          </w:p>
        </w:tc>
        <w:tc>
          <w:tcPr>
            <w:tcW w:type="dxa" w:w="2160"/>
          </w:tcPr>
          <w:p>
            <w:r>
              <w:t>+1.99%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4716.17</w:t>
            </w:r>
          </w:p>
        </w:tc>
        <w:tc>
          <w:tcPr>
            <w:tcW w:type="dxa" w:w="2160"/>
          </w:tcPr>
          <w:p>
            <w:r>
              <w:t>+0.54%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8119.58</w:t>
            </w:r>
          </w:p>
        </w:tc>
        <w:tc>
          <w:tcPr>
            <w:tcW w:type="dxa" w:w="2160"/>
          </w:tcPr>
          <w:p>
            <w:r>
              <w:t>+0.92%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25480 亿（高活跃度）</w:t>
      </w:r>
    </w:p>
    <w:p>
      <w:r>
        <w:t xml:space="preserve">  沪/深偏好：沪市 42%（偏成长进攻）</w:t>
      </w:r>
    </w:p>
    <w:p>
      <w:r>
        <w:t xml:space="preserve">  南向资金：净买入 33.0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-3.99 亿  |  大单净 -5.26 亿  |  涨家 14 / 跌家 16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A股早盘分析报告（10:30）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本时段核心变化是创业板/科创50加速上涨，但市场宽度恶化、主力资金净流出，北向高活跃与南向大幅净买入形成内外资分歧，放量上涨背后结构性风险积聚。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1.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开盘一小时，成长风格显著占优：创业板指 +1.86%、科创50 +1.99%，较上一时段分别加速上涨1.86pp、1.99pp，较昨日同期分别加速0.90pp、0.95pp；上证指数 +0.35%（较上一时段 +0.36pp），沪深300 +0.54%（较上一时段 +0.56pp），主板横盘延续。整体呈“高开高走、科技领涨”格局，但市场宽度不足，指数上涨由少数权重与热点推动。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2.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：上涨445家 / 下跌536家 / 平盘19家，涨跌比44.5%——指数飘红但多数个股下跌，赚钱效应偏弱。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：两市成交11745亿元，较昨日同期 +19.9%，显著放量。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涨停/跌停</w:t>
      </w:r>
      <w:r>
        <w:rPr>
          <w:rFonts w:ascii="微软雅黑" w:hAnsi="微软雅黑" w:eastAsia="微软雅黑"/>
          <w:color w:val="1A1A1A"/>
          <w:sz w:val="22"/>
        </w:rPr>
        <w:t>：涨停10家，跌停0家，情绪未崩溃但涨停家数有限，攻击面收窄。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</w:t>
      </w:r>
      <w:r>
        <w:rPr>
          <w:rFonts w:ascii="微软雅黑" w:hAnsi="微软雅黑" w:eastAsia="微软雅黑"/>
          <w:color w:val="1A1A1A"/>
          <w:sz w:val="22"/>
        </w:rPr>
        <w:t>：北向成交活跃度25480亿（注意：该数值与两市成交额存在口径差异，仅作趋势参考），较昨日同期 -4.9%，参与热度边际降温但仍处高位；外资占比显示0.0%（疑似口径失真，可忽略绝对水平）；沪市成交占比41.6%，偏成长进攻，与创业板/科创50走强一致。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：港股通净买入 +33.0亿（较昨日同期 +35.7亿，由净卖出转为大幅净买入）。南向大幅净买入&gt;30亿，构成A股情绪反向信号，显示内资分流南下，A股情绪边际转弱。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3. 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板块数据未完整提供，从涨停个股结构推断：</w:t>
      </w:r>
      <w:r>
        <w:rPr>
          <w:rFonts w:ascii="微软雅黑" w:hAnsi="微软雅黑" w:eastAsia="微软雅黑"/>
          <w:b/>
          <w:color w:val="D29922"/>
          <w:sz w:val="22"/>
        </w:rPr>
        <w:t>通信/光模块</w:t>
      </w:r>
      <w:r>
        <w:rPr>
          <w:rFonts w:ascii="微软雅黑" w:hAnsi="微软雅黑" w:eastAsia="微软雅黑"/>
          <w:color w:val="1A1A1A"/>
          <w:sz w:val="22"/>
        </w:rPr>
        <w:t>（天孚通信 +12.7%、德科立 +11.2%）、</w:t>
      </w:r>
      <w:r>
        <w:rPr>
          <w:rFonts w:ascii="微软雅黑" w:hAnsi="微软雅黑" w:eastAsia="微软雅黑"/>
          <w:b/>
          <w:color w:val="D29922"/>
          <w:sz w:val="22"/>
        </w:rPr>
        <w:t>半导体设备/科技</w:t>
      </w:r>
      <w:r>
        <w:rPr>
          <w:rFonts w:ascii="微软雅黑" w:hAnsi="微软雅黑" w:eastAsia="微软雅黑"/>
          <w:color w:val="1A1A1A"/>
          <w:sz w:val="22"/>
        </w:rPr>
        <w:t>（精智达 +12.6%、思看科技 +12.8%）、</w:t>
      </w:r>
      <w:r>
        <w:rPr>
          <w:rFonts w:ascii="微软雅黑" w:hAnsi="微软雅黑" w:eastAsia="微软雅黑"/>
          <w:b/>
          <w:color w:val="D29922"/>
          <w:sz w:val="22"/>
        </w:rPr>
        <w:t>创新药/医药</w:t>
      </w:r>
      <w:r>
        <w:rPr>
          <w:rFonts w:ascii="微软雅黑" w:hAnsi="微软雅黑" w:eastAsia="微软雅黑"/>
          <w:color w:val="1A1A1A"/>
          <w:sz w:val="22"/>
        </w:rPr>
        <w:t>（万邦医药 +15.7%、博济医药 +20.0%）领涨；部分基建、传媒、化工个股活跃。</w:t>
      </w:r>
      <w:r>
        <w:rPr>
          <w:rFonts w:ascii="微软雅黑" w:hAnsi="微软雅黑" w:eastAsia="微软雅黑"/>
          <w:b/>
          <w:color w:val="D29922"/>
          <w:sz w:val="22"/>
        </w:rPr>
        <w:t>领跌方向</w:t>
      </w:r>
      <w:r>
        <w:rPr>
          <w:rFonts w:ascii="微软雅黑" w:hAnsi="微软雅黑" w:eastAsia="微软雅黑"/>
          <w:color w:val="1A1A1A"/>
          <w:sz w:val="22"/>
        </w:rPr>
        <w:t>集中在石油、有色（天山铝业 -6.1%、通源石油 -6.5%）、农业及部分前期强势消费股，显示资金从顺周期向科技成长快速迁移。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4. 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实时技术指标未提供，基于价格结构推断：</w:t>
      </w: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开盘3656.88，现价3669.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