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10_IP Classes</w:t>
      </w:r>
    </w:p>
    <w:p>
      <w:pPr>
        <w:pStyle w:val="FirstParagraph"/>
      </w:pPr>
      <w:r>
        <w:t xml:space="preserve">Tags: #network</w:t>
      </w:r>
    </w:p>
    <w:bookmarkStart w:id="28" w:name="ip-classes"/>
    <w:p>
      <w:pPr>
        <w:pStyle w:val="Heading1"/>
      </w:pPr>
      <w:r>
        <w:t xml:space="preserve">10_IP Classes</w:t>
      </w:r>
    </w:p>
    <w:bookmarkStart w:id="27" w:name="ip-address-classes"/>
    <w:p>
      <w:pPr>
        <w:pStyle w:val="Heading3"/>
      </w:pPr>
      <w:r>
        <w:rPr>
          <w:b/>
          <w:bCs/>
        </w:rPr>
        <w:t xml:space="preserve">IP Address Classes</w:t>
      </w:r>
    </w:p>
    <w:p>
      <w:pPr>
        <w:pStyle w:val="FirstParagraph"/>
      </w:pPr>
      <w:r>
        <w:t xml:space="preserve">IP addresses are divided into</w:t>
      </w:r>
      <w:r>
        <w:t xml:space="preserve"> </w:t>
      </w:r>
      <w:r>
        <w:rPr>
          <w:b/>
          <w:bCs/>
        </w:rPr>
        <w:t xml:space="preserve">network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host ID</w:t>
      </w:r>
      <w:r>
        <w:t xml:space="preserve">. The</w:t>
      </w:r>
      <w:r>
        <w:t xml:space="preserve"> </w:t>
      </w:r>
      <w:r>
        <w:rPr>
          <w:b/>
          <w:bCs/>
        </w:rPr>
        <w:t xml:space="preserve">address class system</w:t>
      </w:r>
      <w:r>
        <w:t xml:space="preserve"> </w:t>
      </w:r>
      <w:r>
        <w:t xml:space="preserve">defines how IP space is allocated.</w:t>
      </w:r>
    </w:p>
    <w:bookmarkStart w:id="23" w:name="primary-address-classes"/>
    <w:p>
      <w:pPr>
        <w:pStyle w:val="Heading4"/>
      </w:pPr>
      <w:r>
        <w:rPr>
          <w:b/>
          <w:bCs/>
        </w:rPr>
        <w:t xml:space="preserve">Primary Address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Network ID</w:t>
            </w:r>
          </w:p>
        </w:tc>
        <w:tc>
          <w:tcPr/>
          <w:p>
            <w:pPr>
              <w:pStyle w:val="Compact"/>
            </w:pPr>
            <w:r>
              <w:t xml:space="preserve">Host ID</w:t>
            </w:r>
          </w:p>
        </w:tc>
        <w:tc>
          <w:tcPr/>
          <w:p>
            <w:pPr>
              <w:pStyle w:val="Compact"/>
            </w:pPr>
            <w:r>
              <w:t xml:space="preserve">First Bits (Binary)</w:t>
            </w:r>
          </w:p>
        </w:tc>
        <w:tc>
          <w:tcPr/>
          <w:p>
            <w:pPr>
              <w:pStyle w:val="Compact"/>
            </w:pPr>
            <w:r>
              <w:t xml:space="preserve">First Octet (Decimal)</w:t>
            </w:r>
          </w:p>
        </w:tc>
        <w:tc>
          <w:tcPr/>
          <w:p>
            <w:pPr>
              <w:pStyle w:val="Compact"/>
            </w:pPr>
            <w:r>
              <w:t xml:space="preserve">Hosts per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First octet</w:t>
            </w:r>
          </w:p>
        </w:tc>
        <w:tc>
          <w:tcPr/>
          <w:p>
            <w:pPr>
              <w:pStyle w:val="Compact"/>
            </w:pPr>
            <w:r>
              <w:t xml:space="preserve">Last 3 octets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0–127</w:t>
            </w:r>
          </w:p>
        </w:tc>
        <w:tc>
          <w:tcPr/>
          <w:p>
            <w:pPr>
              <w:pStyle w:val="Compact"/>
            </w:pPr>
            <w:r>
              <w:t xml:space="preserve">16,777,216 (2²⁴)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First 2 octets</w:t>
            </w:r>
          </w:p>
        </w:tc>
        <w:tc>
          <w:tcPr/>
          <w:p>
            <w:pPr>
              <w:pStyle w:val="Compact"/>
            </w:pPr>
            <w:r>
              <w:t xml:space="preserve">Last 2 octets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128–191</w:t>
            </w:r>
          </w:p>
        </w:tc>
        <w:tc>
          <w:tcPr/>
          <w:p>
            <w:pPr>
              <w:pStyle w:val="Compact"/>
            </w:pPr>
            <w:r>
              <w:t xml:space="preserve">65,536 (2¹⁶)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First 3 octets</w:t>
            </w:r>
          </w:p>
        </w:tc>
        <w:tc>
          <w:tcPr/>
          <w:p>
            <w:pPr>
              <w:pStyle w:val="Compact"/>
            </w:pPr>
            <w:r>
              <w:t xml:space="preserve">Last octet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192–223</w:t>
            </w:r>
          </w:p>
        </w:tc>
        <w:tc>
          <w:tcPr/>
          <w:p>
            <w:pPr>
              <w:pStyle w:val="Compact"/>
            </w:pPr>
            <w:r>
              <w:t xml:space="preserve">256 (2⁸)</w:t>
            </w:r>
          </w:p>
        </w:tc>
      </w:tr>
    </w:tbl>
    <w:p>
      <w:pPr>
        <w:pStyle w:val="BodyText"/>
      </w:pPr>
      <w:r>
        <w:drawing>
          <wp:inline>
            <wp:extent cx="5334000" cy="2138680"/>
            <wp:effectExtent b="0" l="0" r="0" t="0"/>
            <wp:docPr descr="../02 - Literature/10_IP Classes.png" title="" id="21" name="Picture"/>
            <a:graphic>
              <a:graphicData uri="http://schemas.openxmlformats.org/drawingml/2006/picture">
                <pic:pic>
                  <pic:nvPicPr>
                    <pic:cNvPr descr="/home/ad/Zettelkasten/02%20-%20Literature/10_IP%20Clas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additional-classes"/>
    <w:p>
      <w:pPr>
        <w:pStyle w:val="Heading4"/>
      </w:pPr>
      <w:r>
        <w:rPr>
          <w:b/>
          <w:bCs/>
        </w:rPr>
        <w:t xml:space="preserve">Additional Classes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D</w:t>
      </w:r>
      <w:r>
        <w:t xml:space="preserve"> </w:t>
      </w:r>
      <w:r>
        <w:t xml:space="preserve">(Multicast):</w:t>
      </w:r>
    </w:p>
    <w:p>
      <w:pPr>
        <w:pStyle w:val="Compact"/>
        <w:numPr>
          <w:ilvl w:val="1"/>
          <w:numId w:val="1002"/>
        </w:numPr>
      </w:pPr>
      <w:r>
        <w:t xml:space="preserve">First bits:</w:t>
      </w:r>
      <w:r>
        <w:t xml:space="preserve"> </w:t>
      </w:r>
      <w:r>
        <w:rPr>
          <w:rStyle w:val="VerbatimChar"/>
        </w:rPr>
        <w:t xml:space="preserve">1110</w:t>
      </w:r>
    </w:p>
    <w:p>
      <w:pPr>
        <w:pStyle w:val="Compact"/>
        <w:numPr>
          <w:ilvl w:val="1"/>
          <w:numId w:val="1002"/>
        </w:numPr>
      </w:pPr>
      <w:r>
        <w:t xml:space="preserve">First octet:</w:t>
      </w:r>
      <w:r>
        <w:t xml:space="preserve"> </w:t>
      </w:r>
      <w:r>
        <w:rPr>
          <w:b/>
          <w:bCs/>
        </w:rPr>
        <w:t xml:space="preserve">224–239</w:t>
      </w:r>
    </w:p>
    <w:p>
      <w:pPr>
        <w:pStyle w:val="Compact"/>
        <w:numPr>
          <w:ilvl w:val="1"/>
          <w:numId w:val="1002"/>
        </w:numPr>
      </w:pPr>
      <w:r>
        <w:t xml:space="preserve">Used for sending data to multiple hosts at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E</w:t>
      </w:r>
      <w:r>
        <w:t xml:space="preserve"> </w:t>
      </w:r>
      <w:r>
        <w:t xml:space="preserve">(Reserved/Experimental):</w:t>
      </w:r>
    </w:p>
    <w:p>
      <w:pPr>
        <w:pStyle w:val="Compact"/>
        <w:numPr>
          <w:ilvl w:val="1"/>
          <w:numId w:val="1003"/>
        </w:numPr>
      </w:pPr>
      <w:r>
        <w:t xml:space="preserve">First bits:</w:t>
      </w:r>
      <w:r>
        <w:t xml:space="preserve"> </w:t>
      </w:r>
      <w:r>
        <w:rPr>
          <w:rStyle w:val="VerbatimChar"/>
        </w:rPr>
        <w:t xml:space="preserve">1111</w:t>
      </w:r>
    </w:p>
    <w:p>
      <w:pPr>
        <w:pStyle w:val="Compact"/>
        <w:numPr>
          <w:ilvl w:val="1"/>
          <w:numId w:val="1003"/>
        </w:numPr>
      </w:pPr>
      <w:r>
        <w:t xml:space="preserve">First octet:</w:t>
      </w:r>
      <w:r>
        <w:t xml:space="preserve"> </w:t>
      </w:r>
      <w:r>
        <w:rPr>
          <w:b/>
          <w:bCs/>
        </w:rPr>
        <w:t xml:space="preserve">240–255</w:t>
      </w:r>
    </w:p>
    <w:p>
      <w:pPr>
        <w:pStyle w:val="Compact"/>
        <w:numPr>
          <w:ilvl w:val="1"/>
          <w:numId w:val="1003"/>
        </w:numPr>
      </w:pPr>
      <w:r>
        <w:t xml:space="preserve">Not assigned for public use; testing only.</w:t>
      </w:r>
    </w:p>
    <w:bookmarkEnd w:id="24"/>
    <w:bookmarkStart w:id="25" w:name="key-points"/>
    <w:p>
      <w:pPr>
        <w:pStyle w:val="Heading4"/>
      </w:pPr>
      <w:r>
        <w:rPr>
          <w:b/>
          <w:bCs/>
        </w:rPr>
        <w:t xml:space="preserve">Key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A</w:t>
      </w:r>
      <w:r>
        <w:t xml:space="preserve">: Large networks (e.g., IBM owns</w:t>
      </w:r>
      <w:r>
        <w:t xml:space="preserve"> </w:t>
      </w:r>
      <w:r>
        <w:rPr>
          <w:rStyle w:val="VerbatimChar"/>
        </w:rPr>
        <w:t xml:space="preserve">9.x.x.x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B</w:t>
      </w:r>
      <w:r>
        <w:t xml:space="preserve">: Medium-sized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C</w:t>
      </w:r>
      <w:r>
        <w:t xml:space="preserve">: Small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Modern Replacement</w:t>
      </w:r>
      <w:r>
        <w:t xml:space="preserve">: CIDR (Classless Inter-Domain Routing) is now more common, but classful addressing is still foundational.</w:t>
      </w:r>
    </w:p>
    <w:bookmarkEnd w:id="25"/>
    <w:bookmarkStart w:id="26" w:name="quick-identification"/>
    <w:p>
      <w:pPr>
        <w:pStyle w:val="Heading4"/>
      </w:pPr>
      <w:r>
        <w:rPr>
          <w:b/>
          <w:bCs/>
        </w:rPr>
        <w:t xml:space="preserve">Quick Identification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0–127</w:t>
      </w:r>
      <w:r>
        <w:t xml:space="preserve"> </w:t>
      </w:r>
      <w:r>
        <w:t xml:space="preserve">→ Class 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128–191</w:t>
      </w:r>
      <w:r>
        <w:t xml:space="preserve"> </w:t>
      </w:r>
      <w:r>
        <w:t xml:space="preserve">→ Class 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192–223</w:t>
      </w:r>
      <w:r>
        <w:t xml:space="preserve"> </w:t>
      </w:r>
      <w:r>
        <w:t xml:space="preserve">→ Class 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224–239</w:t>
      </w:r>
      <w:r>
        <w:t xml:space="preserve"> </w:t>
      </w:r>
      <w:r>
        <w:t xml:space="preserve">→ Class D (Multicast)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240–255</w:t>
      </w:r>
      <w:r>
        <w:t xml:space="preserve"> </w:t>
      </w:r>
      <w:r>
        <w:t xml:space="preserve">→ Class E (Reserved)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10_IP Classes</dc:title>
  <dc:creator/>
  <cp:keywords/>
  <dcterms:created xsi:type="dcterms:W3CDTF">2026-01-15T16:21:30Z</dcterms:created>
  <dcterms:modified xsi:type="dcterms:W3CDTF">2026-01-15T16:21:30Z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sclasses">
    <vt:lpwstr/>
  </property>
</Properties>
</file>