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olor w:val="1F4E79"/>
          <w:sz w:val="52"/>
          <w:szCs w:val="52"/>
        </w:rPr>
        <w:t xml:space="preserve">EMBRYO DEVELOPMENT STAGE</w:t>
      </w:r>
    </w:p>
    <w:p>
      <w:pPr>
        <w:spacing w:after="200" w:before="0"/>
        <w:jc w:val="center"/>
      </w:pPr>
      <w:r>
        <w:rPr>
          <w:rFonts w:ascii="Arial" w:cs="Arial" w:eastAsia="Arial" w:hAnsi="Arial"/>
          <w:b/>
          <w:bCs/>
          <w:color w:val="2E75B6"/>
          <w:sz w:val="52"/>
          <w:szCs w:val="52"/>
        </w:rPr>
        <w:t xml:space="preserve">CLASSIFICATION</w:t>
      </w:r>
    </w:p>
    <w:p>
      <w:pPr>
        <w:pBdr>
          <w:top w:val="single" w:color="2980B9" w:sz="6"/>
          <w:bottom w:val="single" w:color="2980B9" w:sz="6"/>
        </w:pBdr>
        <w:spacing w:after="80" w:before="0"/>
        <w:jc w:val="center"/>
      </w:pPr>
      <w:r>
        <w:rPr>
          <w:rFonts w:ascii="Arial" w:cs="Arial" w:eastAsia="Arial" w:hAnsi="Arial"/>
          <w:i/>
          <w:iCs/>
          <w:color w:val="555555"/>
          <w:sz w:val="26"/>
          <w:szCs w:val="26"/>
        </w:rPr>
        <w:t xml:space="preserve">Deep Learning Report — Enhanced Explanation Version</w:t>
      </w:r>
    </w:p>
    <w:p>
      <w:pPr>
        <w:spacing w:after="0" w:before="200"/>
      </w:pPr>
      <w:r>
        <w:t xml:space="preserve"/>
      </w:r>
    </w:p>
    <w:p>
      <w:pPr>
        <w:spacing w:after="40" w:before="0"/>
        <w:jc w:val="center"/>
      </w:pPr>
      <w:r>
        <w:rPr>
          <w:rFonts w:ascii="Arial" w:cs="Arial" w:eastAsia="Arial" w:hAnsi="Arial"/>
          <w:color w:val="404040"/>
          <w:sz w:val="24"/>
          <w:szCs w:val="24"/>
        </w:rPr>
        <w:t xml:space="preserve">Using Transfer Learning &amp; Custom Loss Functions</w:t>
      </w:r>
    </w:p>
    <w:p>
      <w:pPr>
        <w:spacing w:after="0" w:before="600"/>
      </w:pPr>
      <w:r>
        <w:t xml:space="preserve"/>
      </w:r>
    </w:p>
    <w:p>
      <w:pPr>
        <w:pStyle w:val="Heading1"/>
      </w:pPr>
      <w:r>
        <w:rPr>
          <w:rFonts w:ascii="Arial" w:cs="Arial" w:eastAsia="Arial" w:hAnsi="Arial"/>
          <w:b/>
          <w:bCs/>
          <w:color w:val="FFFFFF"/>
          <w:sz w:val="30"/>
          <w:szCs w:val="30"/>
        </w:rPr>
        <w:t xml:space="preserve">1.  Introduction</w:t>
      </w:r>
    </w:p>
    <w:p>
      <w:pPr>
        <w:spacing w:after="0" w:before="40"/>
      </w:pPr>
      <w:r>
        <w:t xml:space="preserve"/>
      </w:r>
    </w:p>
    <w:p>
      <w:pPr>
        <w:spacing w:after="60" w:before="60"/>
      </w:pPr>
      <w:r>
        <w:rPr>
          <w:rFonts w:ascii="Arial" w:cs="Arial" w:eastAsia="Arial" w:hAnsi="Arial"/>
          <w:color w:val="404040"/>
          <w:sz w:val="22"/>
          <w:szCs w:val="22"/>
        </w:rPr>
        <w:t xml:space="preserve">This project focuses on classifying human embryo development stages — early, mid, and late — using deep learning and transfer learning techniques. By leveraging pre-trained convolutional neural networks, we achieve high classification accuracy while minimizing training time and data requirements.</w:t>
      </w:r>
    </w:p>
    <w:p>
      <w:pPr>
        <w:spacing w:after="0" w:before="40"/>
      </w:pPr>
      <w:r>
        <w:t xml:space="preserve"/>
      </w:r>
    </w:p>
    <w:p>
      <w:pPr>
        <w:spacing w:after="60" w:before="60"/>
      </w:pPr>
      <w:r>
        <w:rPr>
          <w:rFonts w:ascii="Arial" w:cs="Arial" w:eastAsia="Arial" w:hAnsi="Arial"/>
          <w:b/>
          <w:bCs/>
          <w:color w:val="1F4E79"/>
          <w:sz w:val="22"/>
          <w:szCs w:val="22"/>
        </w:rPr>
        <w:t xml:space="preserve">Key Objectives:</w:t>
      </w:r>
    </w:p>
    <w:p>
      <w:pPr>
        <w:pStyle w:val="ListParagraph"/>
        <w:numPr>
          <w:ilvl w:val="0"/>
          <w:numId w:val="2"/>
        </w:numPr>
        <w:spacing w:after="40" w:before="40"/>
      </w:pPr>
      <w:r>
        <w:rPr>
          <w:rFonts w:ascii="Arial" w:cs="Arial" w:eastAsia="Arial" w:hAnsi="Arial"/>
          <w:b w:val="false"/>
          <w:bCs w:val="false"/>
          <w:color w:val="404040"/>
          <w:sz w:val="22"/>
          <w:szCs w:val="22"/>
        </w:rPr>
        <w:t xml:space="preserve">Compare multiple deep learning architectures for embryo classification</w:t>
      </w:r>
    </w:p>
    <w:p>
      <w:pPr>
        <w:pStyle w:val="ListParagraph"/>
        <w:numPr>
          <w:ilvl w:val="0"/>
          <w:numId w:val="2"/>
        </w:numPr>
        <w:spacing w:after="40" w:before="40"/>
      </w:pPr>
      <w:r>
        <w:rPr>
          <w:rFonts w:ascii="Arial" w:cs="Arial" w:eastAsia="Arial" w:hAnsi="Arial"/>
          <w:b w:val="false"/>
          <w:bCs w:val="false"/>
          <w:color w:val="404040"/>
          <w:sz w:val="22"/>
          <w:szCs w:val="22"/>
        </w:rPr>
        <w:t xml:space="preserve">Evaluate standard vs. custom loss functions and their impact on model performance</w:t>
      </w:r>
    </w:p>
    <w:p>
      <w:pPr>
        <w:pStyle w:val="ListParagraph"/>
        <w:numPr>
          <w:ilvl w:val="0"/>
          <w:numId w:val="2"/>
        </w:numPr>
        <w:spacing w:after="40" w:before="40"/>
      </w:pPr>
      <w:r>
        <w:rPr>
          <w:rFonts w:ascii="Arial" w:cs="Arial" w:eastAsia="Arial" w:hAnsi="Arial"/>
          <w:b w:val="false"/>
          <w:bCs w:val="false"/>
          <w:color w:val="404040"/>
          <w:sz w:val="22"/>
          <w:szCs w:val="22"/>
        </w:rPr>
        <w:t xml:space="preserve">Identify the most efficient and accurate model for clinical applicability</w:t>
      </w:r>
    </w:p>
    <w:p>
      <w:pPr>
        <w:spacing w:after="0" w:before="120"/>
      </w:pPr>
      <w:r>
        <w:t xml:space="preserve"/>
      </w:r>
    </w:p>
    <w:p>
      <w:pPr>
        <w:pStyle w:val="Heading1"/>
      </w:pPr>
      <w:r>
        <w:rPr>
          <w:rFonts w:ascii="Arial" w:cs="Arial" w:eastAsia="Arial" w:hAnsi="Arial"/>
          <w:b/>
          <w:bCs/>
          <w:color w:val="FFFFFF"/>
          <w:sz w:val="30"/>
          <w:szCs w:val="30"/>
        </w:rPr>
        <w:t xml:space="preserve">2.  Model Architecture</w:t>
      </w:r>
    </w:p>
    <w:p>
      <w:pPr>
        <w:spacing w:after="0" w:before="40"/>
      </w:pPr>
      <w:r>
        <w:t xml:space="preserve"/>
      </w:r>
    </w:p>
    <w:p>
      <w:pPr>
        <w:pStyle w:val="Heading2"/>
      </w:pPr>
      <w:r>
        <w:rPr>
          <w:rFonts w:ascii="Arial" w:cs="Arial" w:eastAsia="Arial" w:hAnsi="Arial"/>
          <w:b/>
          <w:bCs/>
          <w:color w:val="1F4E79"/>
          <w:sz w:val="26"/>
          <w:szCs w:val="26"/>
        </w:rPr>
        <w:t xml:space="preserve">2.1  Overall Pipeline</w:t>
      </w:r>
    </w:p>
    <w:p>
      <w:pPr>
        <w:spacing w:after="0" w:before="40"/>
      </w:pPr>
      <w:r>
        <w:t xml:space="preserve"/>
      </w:r>
    </w:p>
    <w:p>
      <w:pPr>
        <w:spacing w:after="60" w:before="60"/>
      </w:pPr>
      <w:r>
        <w:rPr>
          <w:rFonts w:ascii="Arial" w:cs="Arial" w:eastAsia="Arial" w:hAnsi="Arial"/>
          <w:color w:val="404040"/>
          <w:sz w:val="22"/>
          <w:szCs w:val="22"/>
        </w:rPr>
        <w:t xml:space="preserve">All models follow a unified transfer learning pipeline consisting of the following stages:</w:t>
      </w:r>
    </w:p>
    <w:p>
      <w:pPr>
        <w:spacing w:after="0" w:before="40"/>
      </w:pPr>
      <w:r>
        <w:t xml:space="preserve"/>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Input Image (224 x 224)</w:t>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       ↓</w:t>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Pretrained Backbone  (ImageNet weights)</w:t>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       ↓</w:t>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Global Average Pooling</w:t>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       ↓</w:t>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Dense Layer  (256 units, ReLU activation)</w:t>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       ↓</w:t>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Dropout  (rate = 0.5)</w:t>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       ↓</w:t>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Output Layer  (Softmax — 3 classes)</w:t>
      </w:r>
    </w:p>
    <w:p>
      <w:pPr>
        <w:spacing w:after="0" w:before="120"/>
      </w:pPr>
      <w:r>
        <w:t xml:space="preserve"/>
      </w:r>
    </w:p>
    <w:p>
      <w:pPr>
        <w:pStyle w:val="Heading2"/>
      </w:pPr>
      <w:r>
        <w:rPr>
          <w:rFonts w:ascii="Arial" w:cs="Arial" w:eastAsia="Arial" w:hAnsi="Arial"/>
          <w:b/>
          <w:bCs/>
          <w:color w:val="1F4E79"/>
          <w:sz w:val="26"/>
          <w:szCs w:val="26"/>
        </w:rPr>
        <w:t xml:space="preserve">2.2  Why This Architecture Works</w:t>
      </w:r>
    </w:p>
    <w:p>
      <w:pPr>
        <w:spacing w:after="0" w:before="60"/>
      </w:pPr>
      <w:r>
        <w:t xml:space="preserve"/>
      </w:r>
    </w:p>
    <w:p>
      <w:pPr>
        <w:spacing w:after="80" w:before="200"/>
      </w:pPr>
      <w:r>
        <w:rPr>
          <w:rFonts w:ascii="Arial" w:cs="Arial" w:eastAsia="Arial" w:hAnsi="Arial"/>
          <w:b/>
          <w:bCs/>
          <w:color w:val="2E75B6"/>
          <w:sz w:val="22"/>
          <w:szCs w:val="22"/>
        </w:rPr>
        <w:t xml:space="preserve">Transfer Learning</w:t>
      </w:r>
    </w:p>
    <w:p>
      <w:pPr>
        <w:spacing w:after="60" w:before="60"/>
      </w:pPr>
      <w:r>
        <w:rPr>
          <w:rFonts w:ascii="Arial" w:cs="Arial" w:eastAsia="Arial" w:hAnsi="Arial"/>
          <w:color w:val="404040"/>
          <w:sz w:val="22"/>
          <w:szCs w:val="22"/>
        </w:rPr>
        <w:t xml:space="preserve">Pre-trained ImageNet weights allow the network to reuse learned representations of edges, textures, and shapes. This dramatically reduces training time and boosts accuracy, especially when medical imaging datasets are limited in size.</w:t>
      </w:r>
    </w:p>
    <w:p>
      <w:pPr>
        <w:spacing w:after="0" w:before="60"/>
      </w:pPr>
      <w:r>
        <w:t xml:space="preserve"/>
      </w:r>
    </w:p>
    <w:p>
      <w:pPr>
        <w:spacing w:after="80" w:before="200"/>
      </w:pPr>
      <w:r>
        <w:rPr>
          <w:rFonts w:ascii="Arial" w:cs="Arial" w:eastAsia="Arial" w:hAnsi="Arial"/>
          <w:b/>
          <w:bCs/>
          <w:color w:val="2E75B6"/>
          <w:sz w:val="22"/>
          <w:szCs w:val="22"/>
        </w:rPr>
        <w:t xml:space="preserve">Fine-Tuning the Last 30 Layers</w:t>
      </w:r>
    </w:p>
    <w:p>
      <w:pPr>
        <w:spacing w:after="60" w:before="60"/>
      </w:pPr>
      <w:r>
        <w:rPr>
          <w:rFonts w:ascii="Arial" w:cs="Arial" w:eastAsia="Arial" w:hAnsi="Arial"/>
          <w:color w:val="404040"/>
          <w:sz w:val="22"/>
          <w:szCs w:val="22"/>
        </w:rPr>
        <w:t xml:space="preserve">Lower layers of the backbone are kept frozen — they capture generic, reusable features. The upper 30 layers are retrained to adapt to embryo morphology specifically. This balance:</w:t>
      </w:r>
    </w:p>
    <w:p>
      <w:pPr>
        <w:pStyle w:val="ListParagraph"/>
        <w:numPr>
          <w:ilvl w:val="0"/>
          <w:numId w:val="2"/>
        </w:numPr>
        <w:spacing w:after="40" w:before="40"/>
      </w:pPr>
      <w:r>
        <w:rPr>
          <w:rFonts w:ascii="Arial" w:cs="Arial" w:eastAsia="Arial" w:hAnsi="Arial"/>
          <w:b w:val="false"/>
          <w:bCs w:val="false"/>
          <w:color w:val="404040"/>
          <w:sz w:val="22"/>
          <w:szCs w:val="22"/>
        </w:rPr>
        <w:t xml:space="preserve">Prevents overfitting on a small medical dataset</w:t>
      </w:r>
    </w:p>
    <w:p>
      <w:pPr>
        <w:pStyle w:val="ListParagraph"/>
        <w:numPr>
          <w:ilvl w:val="0"/>
          <w:numId w:val="2"/>
        </w:numPr>
        <w:spacing w:after="40" w:before="40"/>
      </w:pPr>
      <w:r>
        <w:rPr>
          <w:rFonts w:ascii="Arial" w:cs="Arial" w:eastAsia="Arial" w:hAnsi="Arial"/>
          <w:b w:val="false"/>
          <w:bCs w:val="false"/>
          <w:color w:val="404040"/>
          <w:sz w:val="22"/>
          <w:szCs w:val="22"/>
        </w:rPr>
        <w:t xml:space="preserve">Enables task-specific domain adaptation</w:t>
      </w:r>
    </w:p>
    <w:p>
      <w:pPr>
        <w:spacing w:after="0" w:before="60"/>
      </w:pPr>
      <w:r>
        <w:t xml:space="preserve"/>
      </w:r>
    </w:p>
    <w:p>
      <w:pPr>
        <w:spacing w:after="80" w:before="200"/>
      </w:pPr>
      <w:r>
        <w:rPr>
          <w:rFonts w:ascii="Arial" w:cs="Arial" w:eastAsia="Arial" w:hAnsi="Arial"/>
          <w:b/>
          <w:bCs/>
          <w:color w:val="2E75B6"/>
          <w:sz w:val="22"/>
          <w:szCs w:val="22"/>
        </w:rPr>
        <w:t xml:space="preserve">Global Average Pooling (GAP) vs. Flatten</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624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Drawback / Advantage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Flatten</w:t>
            </w:r>
          </w:p>
        </w:tc>
        <w:tc>
          <w:tcPr>
            <w:tcW w:type="dxa" w:w="62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Generates too many parameters → high risk of overfitting</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GAP (used here)</w:t>
            </w:r>
          </w:p>
        </w:tc>
        <w:tc>
          <w:tcPr>
            <w:tcW w:type="dxa" w:w="624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Reduces spatial maps to a single value per channel → better generalisation</w:t>
            </w:r>
          </w:p>
        </w:tc>
      </w:tr>
    </w:tbl>
    <w:p>
      <w:pPr>
        <w:spacing w:after="0" w:before="80"/>
      </w:pPr>
      <w:r>
        <w:t xml:space="preserve"/>
      </w:r>
    </w:p>
    <w:p>
      <w:pPr>
        <w:spacing w:after="60" w:before="60"/>
      </w:pPr>
      <w:r>
        <w:rPr>
          <w:rFonts w:ascii="Arial" w:cs="Arial" w:eastAsia="Arial" w:hAnsi="Arial"/>
          <w:color w:val="404040"/>
          <w:sz w:val="22"/>
          <w:szCs w:val="22"/>
        </w:rPr>
        <w:t xml:space="preserve">GAP summarises feature maps concisely and is especially effective for medical images with subtle inter-class differences.</w:t>
      </w:r>
    </w:p>
    <w:p>
      <w:pPr>
        <w:spacing w:after="0" w:before="60"/>
      </w:pPr>
      <w:r>
        <w:t xml:space="preserve"/>
      </w:r>
    </w:p>
    <w:p>
      <w:pPr>
        <w:spacing w:after="80" w:before="200"/>
      </w:pPr>
      <w:r>
        <w:rPr>
          <w:rFonts w:ascii="Arial" w:cs="Arial" w:eastAsia="Arial" w:hAnsi="Arial"/>
          <w:b/>
          <w:bCs/>
          <w:color w:val="2E75B6"/>
          <w:sz w:val="22"/>
          <w:szCs w:val="22"/>
        </w:rPr>
        <w:t xml:space="preserve">Dropout (0.5)</w:t>
      </w:r>
    </w:p>
    <w:p>
      <w:pPr>
        <w:spacing w:after="60" w:before="60"/>
      </w:pPr>
      <w:r>
        <w:rPr>
          <w:rFonts w:ascii="Arial" w:cs="Arial" w:eastAsia="Arial" w:hAnsi="Arial"/>
          <w:color w:val="404040"/>
          <w:sz w:val="22"/>
          <w:szCs w:val="22"/>
        </w:rPr>
        <w:t xml:space="preserve">During training, 50% of neurons are randomly deactivated per batch. This prevents the network from memorising training samples and significantly improves generalisation to unseen data.</w:t>
      </w:r>
    </w:p>
    <w:p>
      <w:pPr>
        <w:spacing w:after="0" w:before="120"/>
      </w:pPr>
      <w:r>
        <w:t xml:space="preserve"/>
      </w:r>
    </w:p>
    <w:p>
      <w:pPr>
        <w:pStyle w:val="Heading2"/>
      </w:pPr>
      <w:r>
        <w:rPr>
          <w:rFonts w:ascii="Arial" w:cs="Arial" w:eastAsia="Arial" w:hAnsi="Arial"/>
          <w:b/>
          <w:bCs/>
          <w:color w:val="1F4E79"/>
          <w:sz w:val="26"/>
          <w:szCs w:val="26"/>
        </w:rPr>
        <w:t xml:space="preserve">2.3  Backbone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Model</w:t>
            </w:r>
          </w:p>
        </w:tc>
        <w:tc>
          <w:tcPr>
            <w:tcW w:type="dxa" w:w="1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Accuracy</w:t>
            </w:r>
          </w:p>
        </w:tc>
        <w:tc>
          <w:tcPr>
            <w:tcW w:type="dxa" w:w="234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Parameters</w:t>
            </w:r>
          </w:p>
        </w:tc>
        <w:tc>
          <w:tcPr>
            <w:tcW w:type="dxa" w:w="312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Outcome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InceptionV3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92.05%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~23M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Best performer</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MobileNetV2</w:t>
            </w:r>
          </w:p>
        </w:tc>
        <w:tc>
          <w:tcPr>
            <w:tcW w:type="dxa" w:w="156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90.47%</w:t>
            </w:r>
          </w:p>
        </w:tc>
        <w:tc>
          <w:tcPr>
            <w:tcW w:type="dxa" w:w="234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~3.4M</w:t>
            </w:r>
          </w:p>
        </w:tc>
        <w:tc>
          <w:tcPr>
            <w:tcW w:type="dxa" w:w="312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Efficient runner-up</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VGG16</w:t>
            </w:r>
          </w:p>
        </w:tc>
        <w:tc>
          <w:tcPr>
            <w:tcW w:type="dxa" w:w="1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~33%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~138M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Underfitting</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VGG19</w:t>
            </w:r>
          </w:p>
        </w:tc>
        <w:tc>
          <w:tcPr>
            <w:tcW w:type="dxa" w:w="156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~33%</w:t>
            </w:r>
          </w:p>
        </w:tc>
        <w:tc>
          <w:tcPr>
            <w:tcW w:type="dxa" w:w="234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~144M</w:t>
            </w:r>
          </w:p>
        </w:tc>
        <w:tc>
          <w:tcPr>
            <w:tcW w:type="dxa" w:w="312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Underfitting</w:t>
            </w:r>
          </w:p>
        </w:tc>
      </w:tr>
    </w:tbl>
    <w:p>
      <w:pPr>
        <w:spacing w:after="0" w:before="80"/>
      </w:pPr>
      <w:r>
        <w:t xml:space="preserve"/>
      </w:r>
    </w:p>
    <w:p>
      <w:pPr>
        <w:spacing w:after="60" w:before="60"/>
      </w:pPr>
      <w:r>
        <w:rPr>
          <w:rFonts w:ascii="Arial" w:cs="Arial" w:eastAsia="Arial" w:hAnsi="Arial"/>
          <w:b/>
          <w:bCs/>
          <w:color w:val="1F4E79"/>
          <w:sz w:val="22"/>
          <w:szCs w:val="22"/>
        </w:rPr>
        <w:t xml:space="preserve">Why InceptionV3 and MobileNetV2 Excelled:</w:t>
      </w:r>
    </w:p>
    <w:p>
      <w:pPr>
        <w:pStyle w:val="ListParagraph"/>
        <w:numPr>
          <w:ilvl w:val="0"/>
          <w:numId w:val="2"/>
        </w:numPr>
        <w:spacing w:after="40" w:before="40"/>
      </w:pPr>
      <w:r>
        <w:rPr>
          <w:rFonts w:ascii="Arial" w:cs="Arial" w:eastAsia="Arial" w:hAnsi="Arial"/>
          <w:b w:val="false"/>
          <w:bCs w:val="false"/>
          <w:color w:val="404040"/>
          <w:sz w:val="22"/>
          <w:szCs w:val="22"/>
        </w:rPr>
        <w:t xml:space="preserve">Efficient multi-scale feature extraction</w:t>
      </w:r>
    </w:p>
    <w:p>
      <w:pPr>
        <w:pStyle w:val="ListParagraph"/>
        <w:numPr>
          <w:ilvl w:val="0"/>
          <w:numId w:val="2"/>
        </w:numPr>
        <w:spacing w:after="40" w:before="40"/>
      </w:pPr>
      <w:r>
        <w:rPr>
          <w:rFonts w:ascii="Arial" w:cs="Arial" w:eastAsia="Arial" w:hAnsi="Arial"/>
          <w:b w:val="false"/>
          <w:bCs w:val="false"/>
          <w:color w:val="404040"/>
          <w:sz w:val="22"/>
          <w:szCs w:val="22"/>
        </w:rPr>
        <w:t xml:space="preserve">Improved gradient flow through network depth</w:t>
      </w:r>
    </w:p>
    <w:p>
      <w:pPr>
        <w:pStyle w:val="ListParagraph"/>
        <w:numPr>
          <w:ilvl w:val="0"/>
          <w:numId w:val="2"/>
        </w:numPr>
        <w:spacing w:after="40" w:before="40"/>
      </w:pPr>
      <w:r>
        <w:rPr>
          <w:rFonts w:ascii="Arial" w:cs="Arial" w:eastAsia="Arial" w:hAnsi="Arial"/>
          <w:b w:val="false"/>
          <w:bCs w:val="false"/>
          <w:color w:val="404040"/>
          <w:sz w:val="22"/>
          <w:szCs w:val="22"/>
        </w:rPr>
        <w:t xml:space="preserve">Lower parameter complexity — reduces overfitting risk</w:t>
      </w:r>
    </w:p>
    <w:p>
      <w:pPr>
        <w:spacing w:after="0" w:before="60"/>
      </w:pPr>
      <w:r>
        <w:t xml:space="preserve"/>
      </w:r>
    </w:p>
    <w:p>
      <w:pPr>
        <w:spacing w:after="60" w:before="60"/>
      </w:pPr>
      <w:r>
        <w:rPr>
          <w:rFonts w:ascii="Arial" w:cs="Arial" w:eastAsia="Arial" w:hAnsi="Arial"/>
          <w:b/>
          <w:bCs/>
          <w:color w:val="1F4E79"/>
          <w:sz w:val="22"/>
          <w:szCs w:val="22"/>
        </w:rPr>
        <w:t xml:space="preserve">Why VGG16/VGG19 Failed:</w:t>
      </w:r>
    </w:p>
    <w:p>
      <w:pPr>
        <w:pStyle w:val="ListParagraph"/>
        <w:numPr>
          <w:ilvl w:val="0"/>
          <w:numId w:val="2"/>
        </w:numPr>
        <w:spacing w:after="40" w:before="40"/>
      </w:pPr>
      <w:r>
        <w:rPr>
          <w:rFonts w:ascii="Arial" w:cs="Arial" w:eastAsia="Arial" w:hAnsi="Arial"/>
          <w:b w:val="false"/>
          <w:bCs w:val="false"/>
          <w:color w:val="404040"/>
          <w:sz w:val="22"/>
          <w:szCs w:val="22"/>
        </w:rPr>
        <w:t xml:space="preserve">Extremely large parameter count (~138–144M) with no batch normalisation</w:t>
      </w:r>
    </w:p>
    <w:p>
      <w:pPr>
        <w:pStyle w:val="ListParagraph"/>
        <w:numPr>
          <w:ilvl w:val="0"/>
          <w:numId w:val="2"/>
        </w:numPr>
        <w:spacing w:after="40" w:before="40"/>
      </w:pPr>
      <w:r>
        <w:rPr>
          <w:rFonts w:ascii="Arial" w:cs="Arial" w:eastAsia="Arial" w:hAnsi="Arial"/>
          <w:b w:val="false"/>
          <w:bCs w:val="false"/>
          <w:color w:val="404040"/>
          <w:sz w:val="22"/>
          <w:szCs w:val="22"/>
        </w:rPr>
        <w:t xml:space="preserve">Difficult to fine-tune in just a few epochs with limited data</w:t>
      </w:r>
    </w:p>
    <w:p>
      <w:pPr>
        <w:pStyle w:val="ListParagraph"/>
        <w:numPr>
          <w:ilvl w:val="0"/>
          <w:numId w:val="2"/>
        </w:numPr>
        <w:spacing w:after="40" w:before="40"/>
      </w:pPr>
      <w:r>
        <w:rPr>
          <w:rFonts w:ascii="Arial" w:cs="Arial" w:eastAsia="Arial" w:hAnsi="Arial"/>
          <w:b w:val="false"/>
          <w:bCs w:val="false"/>
          <w:color w:val="404040"/>
          <w:sz w:val="22"/>
          <w:szCs w:val="22"/>
        </w:rPr>
        <w:t xml:space="preserve">Result: the model stagnated at ~33% accuracy (random-chance level for 3 classes)</w:t>
      </w:r>
    </w:p>
    <w:p>
      <w:pPr>
        <w:spacing w:after="0" w:before="120"/>
      </w:pPr>
      <w:r>
        <w:t xml:space="preserve"/>
      </w:r>
    </w:p>
    <w:p>
      <w:pPr>
        <w:pStyle w:val="Heading1"/>
      </w:pPr>
      <w:r>
        <w:rPr>
          <w:rFonts w:ascii="Arial" w:cs="Arial" w:eastAsia="Arial" w:hAnsi="Arial"/>
          <w:b/>
          <w:bCs/>
          <w:color w:val="FFFFFF"/>
          <w:sz w:val="30"/>
          <w:szCs w:val="30"/>
        </w:rPr>
        <w:t xml:space="preserve">3.  Loss Function Design</w:t>
      </w:r>
    </w:p>
    <w:p>
      <w:pPr>
        <w:spacing w:after="0" w:before="40"/>
      </w:pPr>
      <w:r>
        <w:t xml:space="preserve"/>
      </w:r>
    </w:p>
    <w:p>
      <w:pPr>
        <w:pStyle w:val="Heading2"/>
      </w:pPr>
      <w:r>
        <w:rPr>
          <w:rFonts w:ascii="Arial" w:cs="Arial" w:eastAsia="Arial" w:hAnsi="Arial"/>
          <w:b/>
          <w:bCs/>
          <w:color w:val="1F4E79"/>
          <w:sz w:val="26"/>
          <w:szCs w:val="26"/>
        </w:rPr>
        <w:t xml:space="preserve">3.1  Standard Loss Function: Label-Smoothed Cross-Entropy</w:t>
      </w:r>
    </w:p>
    <w:p>
      <w:pPr>
        <w:spacing w:after="0" w:before="40"/>
      </w:pPr>
      <w:r>
        <w:t xml:space="preserve"/>
      </w:r>
    </w:p>
    <w:p>
      <w:pPr>
        <w:spacing w:after="60" w:before="60"/>
      </w:pPr>
      <w:r>
        <w:rPr>
          <w:rFonts w:ascii="Arial" w:cs="Arial" w:eastAsia="Arial" w:hAnsi="Arial"/>
          <w:color w:val="404040"/>
          <w:sz w:val="22"/>
          <w:szCs w:val="22"/>
        </w:rPr>
        <w:t xml:space="preserve">Standard one-hot encoding produces hard targets such as [1, 0, 0]. Label smoothing softens these targets to reduce overconfidence:</w:t>
      </w:r>
    </w:p>
    <w:p>
      <w:pPr>
        <w:spacing w:after="0" w:before="20"/>
      </w:pPr>
      <w:r>
        <w:t xml:space="preserve"/>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Hard target:     [1.00,  0.00,  0.00]</w:t>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Smoothed target: [0.90,  0.05,  0.05]</w:t>
      </w:r>
    </w:p>
    <w:p>
      <w:pPr>
        <w:spacing w:after="0" w:before="60"/>
      </w:pPr>
      <w:r>
        <w:t xml:space="preserve"/>
      </w:r>
    </w:p>
    <w:p>
      <w:pPr>
        <w:spacing w:after="60" w:before="60"/>
      </w:pPr>
      <w:r>
        <w:rPr>
          <w:rFonts w:ascii="Arial" w:cs="Arial" w:eastAsia="Arial" w:hAnsi="Arial"/>
          <w:b/>
          <w:bCs/>
          <w:color w:val="1F4E79"/>
          <w:sz w:val="22"/>
          <w:szCs w:val="22"/>
        </w:rPr>
        <w:t xml:space="preserve">Benefits of Label Smoothing:</w:t>
      </w:r>
    </w:p>
    <w:p>
      <w:pPr>
        <w:pStyle w:val="ListParagraph"/>
        <w:numPr>
          <w:ilvl w:val="0"/>
          <w:numId w:val="2"/>
        </w:numPr>
        <w:spacing w:after="40" w:before="40"/>
      </w:pPr>
      <w:r>
        <w:rPr>
          <w:rFonts w:ascii="Arial" w:cs="Arial" w:eastAsia="Arial" w:hAnsi="Arial"/>
          <w:b w:val="false"/>
          <w:bCs w:val="false"/>
          <w:color w:val="404040"/>
          <w:sz w:val="22"/>
          <w:szCs w:val="22"/>
        </w:rPr>
        <w:t xml:space="preserve">Prevents the model from outputting extreme probability values (0 or 1)</w:t>
      </w:r>
    </w:p>
    <w:p>
      <w:pPr>
        <w:pStyle w:val="ListParagraph"/>
        <w:numPr>
          <w:ilvl w:val="0"/>
          <w:numId w:val="2"/>
        </w:numPr>
        <w:spacing w:after="40" w:before="40"/>
      </w:pPr>
      <w:r>
        <w:rPr>
          <w:rFonts w:ascii="Arial" w:cs="Arial" w:eastAsia="Arial" w:hAnsi="Arial"/>
          <w:b w:val="false"/>
          <w:bCs w:val="false"/>
          <w:color w:val="404040"/>
          <w:sz w:val="22"/>
          <w:szCs w:val="22"/>
        </w:rPr>
        <w:t xml:space="preserve">Improves generalisation by discouraging overconfidence</w:t>
      </w:r>
    </w:p>
    <w:p>
      <w:pPr>
        <w:pStyle w:val="ListParagraph"/>
        <w:numPr>
          <w:ilvl w:val="0"/>
          <w:numId w:val="2"/>
        </w:numPr>
        <w:spacing w:after="40" w:before="40"/>
      </w:pPr>
      <w:r>
        <w:rPr>
          <w:rFonts w:ascii="Arial" w:cs="Arial" w:eastAsia="Arial" w:hAnsi="Arial"/>
          <w:b w:val="false"/>
          <w:bCs w:val="false"/>
          <w:color w:val="404040"/>
          <w:sz w:val="22"/>
          <w:szCs w:val="22"/>
        </w:rPr>
        <w:t xml:space="preserve">Especially important here because embryo development stages share overlapping visual features</w:t>
      </w:r>
    </w:p>
    <w:p>
      <w:pPr>
        <w:spacing w:after="0" w:before="120"/>
      </w:pPr>
      <w:r>
        <w:t xml:space="preserve"/>
      </w:r>
    </w:p>
    <w:p>
      <w:pPr>
        <w:pStyle w:val="Heading2"/>
      </w:pPr>
      <w:r>
        <w:rPr>
          <w:rFonts w:ascii="Arial" w:cs="Arial" w:eastAsia="Arial" w:hAnsi="Arial"/>
          <w:b/>
          <w:bCs/>
          <w:color w:val="1F4E79"/>
          <w:sz w:val="26"/>
          <w:szCs w:val="26"/>
        </w:rPr>
        <w:t xml:space="preserve">3.2  Custom Hybrid Loss Function</w:t>
      </w:r>
    </w:p>
    <w:p>
      <w:pPr>
        <w:spacing w:after="0" w:before="40"/>
      </w:pPr>
      <w:r>
        <w:t xml:space="preserve"/>
      </w:r>
    </w:p>
    <w:p>
      <w:pPr>
        <w:spacing w:after="60" w:before="60"/>
      </w:pPr>
      <w:r>
        <w:rPr>
          <w:rFonts w:ascii="Arial" w:cs="Arial" w:eastAsia="Arial" w:hAnsi="Arial"/>
          <w:color w:val="404040"/>
          <w:sz w:val="22"/>
          <w:szCs w:val="22"/>
        </w:rPr>
        <w:t xml:space="preserve">The hybrid loss combines two complementary components:</w:t>
      </w:r>
    </w:p>
    <w:p>
      <w:pPr>
        <w:spacing w:after="0" w:before="60"/>
      </w:pPr>
      <w:r>
        <w:t xml:space="preserve"/>
      </w:r>
    </w:p>
    <w:p>
      <w:pPr>
        <w:spacing w:after="80" w:before="200"/>
      </w:pPr>
      <w:r>
        <w:rPr>
          <w:rFonts w:ascii="Arial" w:cs="Arial" w:eastAsia="Arial" w:hAnsi="Arial"/>
          <w:b/>
          <w:bCs/>
          <w:color w:val="2E75B6"/>
          <w:sz w:val="22"/>
          <w:szCs w:val="22"/>
        </w:rPr>
        <w:t xml:space="preserve">Component 1: Class-Weighted Cross-Entropy</w:t>
      </w:r>
    </w:p>
    <w:p>
      <w:pPr>
        <w:spacing w:after="60" w:before="60"/>
      </w:pPr>
      <w:r>
        <w:rPr>
          <w:rFonts w:ascii="Arial" w:cs="Arial" w:eastAsia="Arial" w:hAnsi="Arial"/>
          <w:color w:val="404040"/>
          <w:sz w:val="22"/>
          <w:szCs w:val="22"/>
        </w:rPr>
        <w:t xml:space="preserve">Even slight class imbalance can bias training towards the majority class. Class-weighted cross-entropy assigns a higher penalty to mis-classifications of under-represented classes, ensuring fair learning across all stages.</w:t>
      </w:r>
    </w:p>
    <w:p>
      <w:pPr>
        <w:spacing w:after="0" w:before="60"/>
      </w:pPr>
      <w:r>
        <w:t xml:space="preserve"/>
      </w:r>
    </w:p>
    <w:p>
      <w:pPr>
        <w:spacing w:after="80" w:before="200"/>
      </w:pPr>
      <w:r>
        <w:rPr>
          <w:rFonts w:ascii="Arial" w:cs="Arial" w:eastAsia="Arial" w:hAnsi="Arial"/>
          <w:b/>
          <w:bCs/>
          <w:color w:val="2E75B6"/>
          <w:sz w:val="22"/>
          <w:szCs w:val="22"/>
        </w:rPr>
        <w:t xml:space="preserve">Component 2: Focal Loss</w:t>
      </w:r>
    </w:p>
    <w:p>
      <w:pPr>
        <w:spacing w:after="60" w:before="60"/>
      </w:pPr>
      <w:r>
        <w:rPr>
          <w:rFonts w:ascii="Arial" w:cs="Arial" w:eastAsia="Arial" w:hAnsi="Arial"/>
          <w:color w:val="404040"/>
          <w:sz w:val="22"/>
          <w:szCs w:val="22"/>
        </w:rPr>
        <w:t xml:space="preserve">Focal loss dynamically re-weights training samples based on prediction confidence:</w:t>
      </w:r>
    </w:p>
    <w:p>
      <w:pPr>
        <w:spacing w:after="0" w:before="20"/>
      </w:pPr>
      <w:r>
        <w:t xml:space="preserve"/>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Focal Loss ∝ (1 − p)ʳ × log(p)</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Easy examples (high confidence) → loss contribution reduced</w:t>
      </w:r>
    </w:p>
    <w:p>
      <w:pPr>
        <w:pStyle w:val="ListParagraph"/>
        <w:numPr>
          <w:ilvl w:val="0"/>
          <w:numId w:val="2"/>
        </w:numPr>
        <w:spacing w:after="40" w:before="40"/>
      </w:pPr>
      <w:r>
        <w:rPr>
          <w:rFonts w:ascii="Arial" w:cs="Arial" w:eastAsia="Arial" w:hAnsi="Arial"/>
          <w:b w:val="false"/>
          <w:bCs w:val="false"/>
          <w:color w:val="404040"/>
          <w:sz w:val="22"/>
          <w:szCs w:val="22"/>
        </w:rPr>
        <w:t xml:space="preserve">Hard examples (low confidence) → loss contribution amplified</w:t>
      </w:r>
    </w:p>
    <w:p>
      <w:pPr>
        <w:spacing w:after="60" w:before="60"/>
      </w:pPr>
      <w:r>
        <w:rPr>
          <w:rFonts w:ascii="Arial" w:cs="Arial" w:eastAsia="Arial" w:hAnsi="Arial"/>
          <w:color w:val="404040"/>
          <w:sz w:val="22"/>
          <w:szCs w:val="22"/>
        </w:rPr>
        <w:t xml:space="preserve">This is critical in embryo classification because some images are ambiguous between adjacent developmental stages.</w:t>
      </w:r>
    </w:p>
    <w:p>
      <w:pPr>
        <w:spacing w:after="0" w:before="80"/>
      </w:pPr>
      <w:r>
        <w:t xml:space="preserve"/>
      </w:r>
    </w:p>
    <w:p>
      <w:pPr>
        <w:spacing w:after="80" w:before="200"/>
      </w:pPr>
      <w:r>
        <w:rPr>
          <w:rFonts w:ascii="Arial" w:cs="Arial" w:eastAsia="Arial" w:hAnsi="Arial"/>
          <w:b/>
          <w:bCs/>
          <w:color w:val="2E75B6"/>
          <w:sz w:val="22"/>
          <w:szCs w:val="22"/>
        </w:rPr>
        <w:t xml:space="preserve">Final Hybrid Loss Formula</w:t>
      </w:r>
    </w:p>
    <w:p>
      <w:pPr>
        <w:spacing w:after="0" w:before="20"/>
      </w:pPr>
      <w:r>
        <w:t xml:space="preserve"/>
      </w:r>
    </w:p>
    <w:p>
      <w:pPr>
        <w:pBdr>
          <w:top w:val="single" w:color="CCCCCC" w:sz="1"/>
          <w:left w:val="thick" w:color="2980B9" w:sz="6"/>
          <w:bottom w:val="single" w:color="CCCCCC" w:sz="1"/>
          <w:right w:val="single" w:color="CCCCCC" w:sz="1"/>
        </w:pBdr>
        <w:shd w:fill="F4F4F4" w:val="clear"/>
        <w:spacing w:after="80" w:before="80"/>
        <w:ind w:left="360"/>
      </w:pPr>
      <w:r>
        <w:rPr>
          <w:rFonts w:ascii="Courier New" w:cs="Courier New" w:eastAsia="Courier New" w:hAnsi="Courier New"/>
          <w:color w:val="333333"/>
          <w:sz w:val="18"/>
          <w:szCs w:val="18"/>
        </w:rPr>
        <w:t xml:space="preserve">Hybrid Loss  =  0.5 × Weighted CE  +  0.5 × Focal Loss</w:t>
      </w:r>
    </w:p>
    <w:p>
      <w:pPr>
        <w:spacing w:after="0" w:before="80"/>
      </w:pPr>
      <w:r>
        <w:t xml:space="preserve"/>
      </w:r>
    </w:p>
    <w:p>
      <w:pPr>
        <w:spacing w:after="60" w:before="60"/>
      </w:pPr>
      <w:r>
        <w:rPr>
          <w:rFonts w:ascii="Arial" w:cs="Arial" w:eastAsia="Arial" w:hAnsi="Arial"/>
          <w:b/>
          <w:bCs/>
          <w:color w:val="1F4E79"/>
          <w:sz w:val="22"/>
          <w:szCs w:val="22"/>
        </w:rPr>
        <w:t xml:space="preserve">Problem-Solution Mapping:</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Problem</w:t>
            </w:r>
          </w:p>
        </w:tc>
        <w:tc>
          <w:tcPr>
            <w:tcW w:type="dxa" w:w="46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Solution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Class imbalance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Class-Weighted Cross-Entropy</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Hard/ambiguous examples</w:t>
            </w:r>
          </w:p>
        </w:tc>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Focal Loss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Model overconfidence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Both components jointly</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Gradient instability</w:t>
            </w:r>
          </w:p>
        </w:tc>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Balanced 50/50 combination</w:t>
            </w:r>
          </w:p>
        </w:tc>
      </w:tr>
    </w:tbl>
    <w:p>
      <w:pPr>
        <w:spacing w:after="0" w:before="120"/>
      </w:pPr>
      <w:r>
        <w:t xml:space="preserve"/>
      </w:r>
    </w:p>
    <w:p>
      <w:pPr>
        <w:pStyle w:val="Heading1"/>
      </w:pPr>
      <w:r>
        <w:rPr>
          <w:rFonts w:ascii="Arial" w:cs="Arial" w:eastAsia="Arial" w:hAnsi="Arial"/>
          <w:b/>
          <w:bCs/>
          <w:color w:val="FFFFFF"/>
          <w:sz w:val="30"/>
          <w:szCs w:val="30"/>
        </w:rPr>
        <w:t xml:space="preserve">4.  Standard vs. Hybrid Loss — Critical Analysis</w:t>
      </w:r>
    </w:p>
    <w:p>
      <w:pPr>
        <w:spacing w:after="0" w:before="40"/>
      </w:pPr>
      <w:r>
        <w:t xml:space="preserve"/>
      </w:r>
    </w:p>
    <w:p>
      <w:pPr>
        <w:pStyle w:val="Heading2"/>
      </w:pPr>
      <w:r>
        <w:rPr>
          <w:rFonts w:ascii="Arial" w:cs="Arial" w:eastAsia="Arial" w:hAnsi="Arial"/>
          <w:b/>
          <w:bCs/>
          <w:color w:val="1F4E79"/>
          <w:sz w:val="26"/>
          <w:szCs w:val="26"/>
        </w:rPr>
        <w:t xml:space="preserve">4.1  Results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Model</w:t>
            </w:r>
          </w:p>
        </w:tc>
        <w:tc>
          <w:tcPr>
            <w:tcW w:type="dxa" w:w="312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Standard Loss</w:t>
            </w:r>
          </w:p>
        </w:tc>
        <w:tc>
          <w:tcPr>
            <w:tcW w:type="dxa" w:w="312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Hybrid Loss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MobileNetV2</w:t>
            </w:r>
          </w:p>
        </w:tc>
        <w:tc>
          <w:tcPr>
            <w:tcW w:type="dxa" w:w="312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90.47%</w:t>
            </w:r>
          </w:p>
        </w:tc>
        <w:tc>
          <w:tcPr>
            <w:tcW w:type="dxa" w:w="312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89.42%</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InceptionV3</w:t>
            </w:r>
          </w:p>
        </w:tc>
        <w:tc>
          <w:tcPr>
            <w:tcW w:type="dxa" w:w="312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92.05%</w:t>
            </w:r>
          </w:p>
        </w:tc>
        <w:tc>
          <w:tcPr>
            <w:tcW w:type="dxa" w:w="312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90.21%</w:t>
            </w:r>
          </w:p>
        </w:tc>
      </w:tr>
    </w:tbl>
    <w:p>
      <w:pPr>
        <w:spacing w:after="0" w:before="80"/>
      </w:pPr>
      <w:r>
        <w:t xml:space="preserve"/>
      </w:r>
    </w:p>
    <w:p>
      <w:pPr>
        <w:pStyle w:val="Heading2"/>
      </w:pPr>
      <w:r>
        <w:rPr>
          <w:rFonts w:ascii="Arial" w:cs="Arial" w:eastAsia="Arial" w:hAnsi="Arial"/>
          <w:b/>
          <w:bCs/>
          <w:color w:val="1F4E79"/>
          <w:sz w:val="26"/>
          <w:szCs w:val="26"/>
        </w:rPr>
        <w:t xml:space="preserve">4.2  Why Standard Loss Performed Better (in this experiment)</w:t>
      </w:r>
    </w:p>
    <w:p>
      <w:pPr>
        <w:spacing w:after="0" w:before="40"/>
      </w:pPr>
      <w:r>
        <w:t xml:space="preserve"/>
      </w:r>
    </w:p>
    <w:p>
      <w:pPr>
        <w:spacing w:after="60" w:before="60"/>
      </w:pPr>
      <w:r>
        <w:rPr>
          <w:rFonts w:ascii="Arial" w:cs="Arial" w:eastAsia="Arial" w:hAnsi="Arial"/>
          <w:color w:val="404040"/>
          <w:sz w:val="22"/>
          <w:szCs w:val="22"/>
        </w:rPr>
        <w:t xml:space="preserve">At first glance the results favour the standard loss, but this does not mean the hybrid approach is inferior. The key limiting factor was training duration:</w:t>
      </w:r>
    </w:p>
    <w:p>
      <w:pPr>
        <w:pStyle w:val="ListParagraph"/>
        <w:numPr>
          <w:ilvl w:val="0"/>
          <w:numId w:val="2"/>
        </w:numPr>
        <w:spacing w:after="40" w:before="40"/>
      </w:pPr>
      <w:r>
        <w:rPr>
          <w:rFonts w:ascii="Arial" w:cs="Arial" w:eastAsia="Arial" w:hAnsi="Arial"/>
          <w:b w:val="false"/>
          <w:bCs w:val="false"/>
          <w:color w:val="404040"/>
          <w:sz w:val="22"/>
          <w:szCs w:val="22"/>
        </w:rPr>
        <w:t xml:space="preserve">Only 5 epochs were used for this experiment</w:t>
      </w:r>
    </w:p>
    <w:p>
      <w:pPr>
        <w:pStyle w:val="ListParagraph"/>
        <w:numPr>
          <w:ilvl w:val="0"/>
          <w:numId w:val="2"/>
        </w:numPr>
        <w:spacing w:after="40" w:before="40"/>
      </w:pPr>
      <w:r>
        <w:rPr>
          <w:rFonts w:ascii="Arial" w:cs="Arial" w:eastAsia="Arial" w:hAnsi="Arial"/>
          <w:b w:val="false"/>
          <w:bCs w:val="false"/>
          <w:color w:val="404040"/>
          <w:sz w:val="22"/>
          <w:szCs w:val="22"/>
        </w:rPr>
        <w:t xml:space="preserve">The hybrid loss has more complex gradient dynamics that require additional epochs to converge</w:t>
      </w:r>
    </w:p>
    <w:p>
      <w:pPr>
        <w:pStyle w:val="ListParagraph"/>
        <w:numPr>
          <w:ilvl w:val="0"/>
          <w:numId w:val="2"/>
        </w:numPr>
        <w:spacing w:after="40" w:before="40"/>
      </w:pPr>
      <w:r>
        <w:rPr>
          <w:rFonts w:ascii="Arial" w:cs="Arial" w:eastAsia="Arial" w:hAnsi="Arial"/>
          <w:b w:val="false"/>
          <w:bCs w:val="false"/>
          <w:color w:val="404040"/>
          <w:sz w:val="22"/>
          <w:szCs w:val="22"/>
        </w:rPr>
        <w:t xml:space="preserve">With 20–30 epochs, the hybrid loss is theoretically expected to surpass the standard loss</w:t>
      </w:r>
    </w:p>
    <w:p>
      <w:pPr>
        <w:spacing w:after="0" w:before="60"/>
      </w:pPr>
      <w:r>
        <w:t xml:space="preserve"/>
      </w:r>
    </w:p>
    <w:p>
      <w:pPr>
        <w:pStyle w:val="Heading2"/>
      </w:pPr>
      <w:r>
        <w:rPr>
          <w:rFonts w:ascii="Arial" w:cs="Arial" w:eastAsia="Arial" w:hAnsi="Arial"/>
          <w:b/>
          <w:bCs/>
          <w:color w:val="1F4E79"/>
          <w:sz w:val="26"/>
          <w:szCs w:val="26"/>
        </w:rPr>
        <w:t xml:space="preserve">4.3  Recommended Loss Strategy by Scenario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Scenario</w:t>
            </w:r>
          </w:p>
        </w:tc>
        <w:tc>
          <w:tcPr>
            <w:tcW w:type="dxa" w:w="46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Recommended Loss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Short training runs (&lt; 10 epochs)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Standard Label-Smoothed CE</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Long training runs (20+ epochs)</w:t>
            </w:r>
          </w:p>
        </w:tc>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Hybrid Loss (expected to excel)</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Imbalanced dataset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Hybrid Loss</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Ambiguous / hard classification</w:t>
            </w:r>
          </w:p>
        </w:tc>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Hybrid Loss</w:t>
            </w:r>
          </w:p>
        </w:tc>
      </w:tr>
    </w:tbl>
    <w:p>
      <w:pPr>
        <w:spacing w:after="0" w:before="120"/>
      </w:pPr>
      <w:r>
        <w:t xml:space="preserve"/>
      </w:r>
    </w:p>
    <w:p>
      <w:pPr>
        <w:pStyle w:val="Heading1"/>
      </w:pPr>
      <w:r>
        <w:rPr>
          <w:rFonts w:ascii="Arial" w:cs="Arial" w:eastAsia="Arial" w:hAnsi="Arial"/>
          <w:b/>
          <w:bCs/>
          <w:color w:val="FFFFFF"/>
          <w:sz w:val="30"/>
          <w:szCs w:val="30"/>
        </w:rPr>
        <w:t xml:space="preserve">5.  Overfitting &amp; Underfitting Analysis</w:t>
      </w:r>
    </w:p>
    <w:p>
      <w:pPr>
        <w:spacing w:after="0" w:before="40"/>
      </w:pPr>
      <w:r>
        <w:t xml:space="preserve"/>
      </w:r>
    </w:p>
    <w:p>
      <w:pPr>
        <w:pStyle w:val="Heading2"/>
      </w:pPr>
      <w:r>
        <w:rPr>
          <w:rFonts w:ascii="Arial" w:cs="Arial" w:eastAsia="Arial" w:hAnsi="Arial"/>
          <w:b/>
          <w:bCs/>
          <w:color w:val="1F4E79"/>
          <w:sz w:val="26"/>
          <w:szCs w:val="26"/>
        </w:rPr>
        <w:t xml:space="preserve">5.1  MobileNetV2 &amp; InceptionV3 — Good Fit</w:t>
      </w:r>
    </w:p>
    <w:p>
      <w:pPr>
        <w:spacing w:after="0" w:before="40"/>
      </w:pPr>
      <w:r>
        <w:t xml:space="preserve"/>
      </w:r>
    </w:p>
    <w:p>
      <w:pPr>
        <w:spacing w:after="60" w:before="60"/>
      </w:pPr>
      <w:r>
        <w:rPr>
          <w:rFonts w:ascii="Arial" w:cs="Arial" w:eastAsia="Arial" w:hAnsi="Arial"/>
          <w:color w:val="404040"/>
          <w:sz w:val="22"/>
          <w:szCs w:val="22"/>
        </w:rPr>
        <w:t xml:space="preserve">Both training and validation accuracy increased consistently across epochs, with no significant divergence between the two curves. This indicates a well-fitted model with no signs of overfitting — the network generalises effectively to unseen embryo images.</w:t>
      </w:r>
    </w:p>
    <w:p>
      <w:pPr>
        <w:spacing w:after="0" w:before="80"/>
      </w:pPr>
      <w:r>
        <w:t xml:space="preserve"/>
      </w:r>
    </w:p>
    <w:p>
      <w:pPr>
        <w:pStyle w:val="Heading2"/>
      </w:pPr>
      <w:r>
        <w:rPr>
          <w:rFonts w:ascii="Arial" w:cs="Arial" w:eastAsia="Arial" w:hAnsi="Arial"/>
          <w:b/>
          <w:bCs/>
          <w:color w:val="1F4E79"/>
          <w:sz w:val="26"/>
          <w:szCs w:val="26"/>
        </w:rPr>
        <w:t xml:space="preserve">5.2  VGG Models — Underfitting</w:t>
      </w:r>
    </w:p>
    <w:p>
      <w:pPr>
        <w:spacing w:after="0" w:before="40"/>
      </w:pPr>
      <w:r>
        <w:t xml:space="preserve"/>
      </w:r>
    </w:p>
    <w:p>
      <w:pPr>
        <w:spacing w:after="60" w:before="60"/>
      </w:pPr>
      <w:r>
        <w:rPr>
          <w:rFonts w:ascii="Arial" w:cs="Arial" w:eastAsia="Arial" w:hAnsi="Arial"/>
          <w:color w:val="404040"/>
          <w:sz w:val="22"/>
          <w:szCs w:val="22"/>
        </w:rPr>
        <w:t xml:space="preserve">VGG16 and VGG19 plateaued at approximately 33% accuracy — equivalent to random guessing for a 3-class problem. The sheer scale of these models (~138–144M parameters), combined with the absence of batch normalisation, made meaningful learning impossible within the available training budget.</w:t>
      </w:r>
    </w:p>
    <w:p>
      <w:pPr>
        <w:spacing w:after="0" w:before="120"/>
      </w:pPr>
      <w:r>
        <w:t xml:space="preserve"/>
      </w:r>
    </w:p>
    <w:p>
      <w:pPr>
        <w:pStyle w:val="Heading1"/>
      </w:pPr>
      <w:r>
        <w:rPr>
          <w:rFonts w:ascii="Arial" w:cs="Arial" w:eastAsia="Arial" w:hAnsi="Arial"/>
          <w:b/>
          <w:bCs/>
          <w:color w:val="FFFFFF"/>
          <w:sz w:val="30"/>
          <w:szCs w:val="30"/>
        </w:rPr>
        <w:t xml:space="preserve">6.  Key Benefits of This Approach</w:t>
      </w:r>
    </w:p>
    <w:p>
      <w:pPr>
        <w:spacing w:after="0" w:before="40"/>
      </w:pPr>
      <w:r>
        <w:t xml:space="preserve"/>
      </w:r>
    </w:p>
    <w:p>
      <w:pPr>
        <w:spacing w:after="80" w:before="200"/>
      </w:pPr>
      <w:r>
        <w:rPr>
          <w:rFonts w:ascii="Arial" w:cs="Arial" w:eastAsia="Arial" w:hAnsi="Arial"/>
          <w:b/>
          <w:bCs/>
          <w:color w:val="2E75B6"/>
          <w:sz w:val="22"/>
          <w:szCs w:val="22"/>
        </w:rPr>
        <w:t xml:space="preserve">1. Transfer Learning</w:t>
      </w:r>
    </w:p>
    <w:p>
      <w:pPr>
        <w:pStyle w:val="ListParagraph"/>
        <w:numPr>
          <w:ilvl w:val="0"/>
          <w:numId w:val="2"/>
        </w:numPr>
        <w:spacing w:after="40" w:before="40"/>
      </w:pPr>
      <w:r>
        <w:rPr>
          <w:rFonts w:ascii="Arial" w:cs="Arial" w:eastAsia="Arial" w:hAnsi="Arial"/>
          <w:b w:val="false"/>
          <w:bCs w:val="false"/>
          <w:color w:val="404040"/>
          <w:sz w:val="22"/>
          <w:szCs w:val="22"/>
        </w:rPr>
        <w:t xml:space="preserve">Faster convergence due to pre-learned feature representations</w:t>
      </w:r>
    </w:p>
    <w:p>
      <w:pPr>
        <w:pStyle w:val="ListParagraph"/>
        <w:numPr>
          <w:ilvl w:val="0"/>
          <w:numId w:val="2"/>
        </w:numPr>
        <w:spacing w:after="40" w:before="40"/>
      </w:pPr>
      <w:r>
        <w:rPr>
          <w:rFonts w:ascii="Arial" w:cs="Arial" w:eastAsia="Arial" w:hAnsi="Arial"/>
          <w:b w:val="false"/>
          <w:bCs w:val="false"/>
          <w:color w:val="404040"/>
          <w:sz w:val="22"/>
          <w:szCs w:val="22"/>
        </w:rPr>
        <w:t xml:space="preserve">Higher accuracy achievable with relatively small datasets</w:t>
      </w:r>
    </w:p>
    <w:p>
      <w:pPr>
        <w:pStyle w:val="ListParagraph"/>
        <w:numPr>
          <w:ilvl w:val="0"/>
          <w:numId w:val="2"/>
        </w:numPr>
        <w:spacing w:after="40" w:before="40"/>
      </w:pPr>
      <w:r>
        <w:rPr>
          <w:rFonts w:ascii="Arial" w:cs="Arial" w:eastAsia="Arial" w:hAnsi="Arial"/>
          <w:b w:val="false"/>
          <w:bCs w:val="false"/>
          <w:color w:val="404040"/>
          <w:sz w:val="22"/>
          <w:szCs w:val="22"/>
        </w:rPr>
        <w:t xml:space="preserve">Reduced computational cost compared to training from scratch</w:t>
      </w:r>
    </w:p>
    <w:p>
      <w:pPr>
        <w:spacing w:after="0" w:before="60"/>
      </w:pPr>
      <w:r>
        <w:t xml:space="preserve"/>
      </w:r>
    </w:p>
    <w:p>
      <w:pPr>
        <w:spacing w:after="80" w:before="200"/>
      </w:pPr>
      <w:r>
        <w:rPr>
          <w:rFonts w:ascii="Arial" w:cs="Arial" w:eastAsia="Arial" w:hAnsi="Arial"/>
          <w:b/>
          <w:bCs/>
          <w:color w:val="2E75B6"/>
          <w:sz w:val="22"/>
          <w:szCs w:val="22"/>
        </w:rPr>
        <w:t xml:space="preserve">2. Hybrid Loss Design</w:t>
      </w:r>
    </w:p>
    <w:p>
      <w:pPr>
        <w:pStyle w:val="ListParagraph"/>
        <w:numPr>
          <w:ilvl w:val="0"/>
          <w:numId w:val="2"/>
        </w:numPr>
        <w:spacing w:after="40" w:before="40"/>
      </w:pPr>
      <w:r>
        <w:rPr>
          <w:rFonts w:ascii="Arial" w:cs="Arial" w:eastAsia="Arial" w:hAnsi="Arial"/>
          <w:b w:val="false"/>
          <w:bCs w:val="false"/>
          <w:color w:val="404040"/>
          <w:sz w:val="22"/>
          <w:szCs w:val="22"/>
        </w:rPr>
        <w:t xml:space="preserve">Research-grade methodology addressing real-world classification challenges</w:t>
      </w:r>
    </w:p>
    <w:p>
      <w:pPr>
        <w:pStyle w:val="ListParagraph"/>
        <w:numPr>
          <w:ilvl w:val="0"/>
          <w:numId w:val="2"/>
        </w:numPr>
        <w:spacing w:after="40" w:before="40"/>
      </w:pPr>
      <w:r>
        <w:rPr>
          <w:rFonts w:ascii="Arial" w:cs="Arial" w:eastAsia="Arial" w:hAnsi="Arial"/>
          <w:b w:val="false"/>
          <w:bCs w:val="false"/>
          <w:color w:val="404040"/>
          <w:sz w:val="22"/>
          <w:szCs w:val="22"/>
        </w:rPr>
        <w:t xml:space="preserve">Handles class imbalance and ambiguous inter-class boundaries simultaneously</w:t>
      </w:r>
    </w:p>
    <w:p>
      <w:pPr>
        <w:spacing w:after="0" w:before="60"/>
      </w:pPr>
      <w:r>
        <w:t xml:space="preserve"/>
      </w:r>
    </w:p>
    <w:p>
      <w:pPr>
        <w:spacing w:after="80" w:before="200"/>
      </w:pPr>
      <w:r>
        <w:rPr>
          <w:rFonts w:ascii="Arial" w:cs="Arial" w:eastAsia="Arial" w:hAnsi="Arial"/>
          <w:b/>
          <w:bCs/>
          <w:color w:val="2E75B6"/>
          <w:sz w:val="22"/>
          <w:szCs w:val="22"/>
        </w:rPr>
        <w:t xml:space="preserve">3. Efficient Architecture Selection</w:t>
      </w:r>
    </w:p>
    <w:p>
      <w:pPr>
        <w:pStyle w:val="ListParagraph"/>
        <w:numPr>
          <w:ilvl w:val="0"/>
          <w:numId w:val="2"/>
        </w:numPr>
        <w:spacing w:after="40" w:before="40"/>
      </w:pPr>
      <w:r>
        <w:rPr>
          <w:rFonts w:ascii="Arial" w:cs="Arial" w:eastAsia="Arial" w:hAnsi="Arial"/>
          <w:b w:val="false"/>
          <w:bCs w:val="false"/>
          <w:color w:val="404040"/>
          <w:sz w:val="22"/>
          <w:szCs w:val="22"/>
        </w:rPr>
        <w:t xml:space="preserve">MobileNetV2: Lightweight and deployable on resource-constrained hardware</w:t>
      </w:r>
    </w:p>
    <w:p>
      <w:pPr>
        <w:pStyle w:val="ListParagraph"/>
        <w:numPr>
          <w:ilvl w:val="0"/>
          <w:numId w:val="2"/>
        </w:numPr>
        <w:spacing w:after="40" w:before="40"/>
      </w:pPr>
      <w:r>
        <w:rPr>
          <w:rFonts w:ascii="Arial" w:cs="Arial" w:eastAsia="Arial" w:hAnsi="Arial"/>
          <w:b w:val="false"/>
          <w:bCs w:val="false"/>
          <w:color w:val="404040"/>
          <w:sz w:val="22"/>
          <w:szCs w:val="22"/>
        </w:rPr>
        <w:t xml:space="preserve">InceptionV3: High-accuracy model suitable for clinical decision support</w:t>
      </w:r>
    </w:p>
    <w:p>
      <w:pPr>
        <w:spacing w:after="0" w:before="60"/>
      </w:pPr>
      <w:r>
        <w:t xml:space="preserve"/>
      </w:r>
    </w:p>
    <w:p>
      <w:pPr>
        <w:spacing w:after="80" w:before="200"/>
      </w:pPr>
      <w:r>
        <w:rPr>
          <w:rFonts w:ascii="Arial" w:cs="Arial" w:eastAsia="Arial" w:hAnsi="Arial"/>
          <w:b/>
          <w:bCs/>
          <w:color w:val="2E75B6"/>
          <w:sz w:val="22"/>
          <w:szCs w:val="22"/>
        </w:rPr>
        <w:t xml:space="preserve">4. Medical Relevance</w:t>
      </w:r>
    </w:p>
    <w:p>
      <w:pPr>
        <w:pStyle w:val="ListParagraph"/>
        <w:numPr>
          <w:ilvl w:val="0"/>
          <w:numId w:val="2"/>
        </w:numPr>
        <w:spacing w:after="40" w:before="40"/>
      </w:pPr>
      <w:r>
        <w:rPr>
          <w:rFonts w:ascii="Arial" w:cs="Arial" w:eastAsia="Arial" w:hAnsi="Arial"/>
          <w:b w:val="false"/>
          <w:bCs w:val="false"/>
          <w:color w:val="404040"/>
          <w:sz w:val="22"/>
          <w:szCs w:val="22"/>
        </w:rPr>
        <w:t xml:space="preserve">Reduces subjectivity and human error in embryo grading</w:t>
      </w:r>
    </w:p>
    <w:p>
      <w:pPr>
        <w:pStyle w:val="ListParagraph"/>
        <w:numPr>
          <w:ilvl w:val="0"/>
          <w:numId w:val="2"/>
        </w:numPr>
        <w:spacing w:after="40" w:before="40"/>
      </w:pPr>
      <w:r>
        <w:rPr>
          <w:rFonts w:ascii="Arial" w:cs="Arial" w:eastAsia="Arial" w:hAnsi="Arial"/>
          <w:b w:val="false"/>
          <w:bCs w:val="false"/>
          <w:color w:val="404040"/>
          <w:sz w:val="22"/>
          <w:szCs w:val="22"/>
        </w:rPr>
        <w:t xml:space="preserve">Assists embryologists with consistent, objective stage classification</w:t>
      </w:r>
    </w:p>
    <w:p>
      <w:pPr>
        <w:pStyle w:val="ListParagraph"/>
        <w:numPr>
          <w:ilvl w:val="0"/>
          <w:numId w:val="2"/>
        </w:numPr>
        <w:spacing w:after="40" w:before="40"/>
      </w:pPr>
      <w:r>
        <w:rPr>
          <w:rFonts w:ascii="Arial" w:cs="Arial" w:eastAsia="Arial" w:hAnsi="Arial"/>
          <w:b w:val="false"/>
          <w:bCs w:val="false"/>
          <w:color w:val="404040"/>
          <w:sz w:val="22"/>
          <w:szCs w:val="22"/>
        </w:rPr>
        <w:t xml:space="preserve">Potential to improve IVF (In Vitro Fertilisation) success rates</w:t>
      </w:r>
    </w:p>
    <w:p>
      <w:pPr>
        <w:spacing w:after="0" w:before="60"/>
      </w:pPr>
      <w:r>
        <w:t xml:space="preserve"/>
      </w:r>
    </w:p>
    <w:p>
      <w:pPr>
        <w:spacing w:after="80" w:before="200"/>
      </w:pPr>
      <w:r>
        <w:rPr>
          <w:rFonts w:ascii="Arial" w:cs="Arial" w:eastAsia="Arial" w:hAnsi="Arial"/>
          <w:b/>
          <w:bCs/>
          <w:color w:val="2E75B6"/>
          <w:sz w:val="22"/>
          <w:szCs w:val="22"/>
        </w:rPr>
        <w:t xml:space="preserve">5. Mixed Precision Training</w:t>
      </w:r>
    </w:p>
    <w:p>
      <w:pPr>
        <w:pStyle w:val="ListParagraph"/>
        <w:numPr>
          <w:ilvl w:val="0"/>
          <w:numId w:val="2"/>
        </w:numPr>
        <w:spacing w:after="40" w:before="40"/>
      </w:pPr>
      <w:r>
        <w:rPr>
          <w:rFonts w:ascii="Arial" w:cs="Arial" w:eastAsia="Arial" w:hAnsi="Arial"/>
          <w:b w:val="false"/>
          <w:bCs w:val="false"/>
          <w:color w:val="404040"/>
          <w:sz w:val="22"/>
          <w:szCs w:val="22"/>
        </w:rPr>
        <w:t xml:space="preserve">Faster computation using FP16 arithmetic where appropriate</w:t>
      </w:r>
    </w:p>
    <w:p>
      <w:pPr>
        <w:pStyle w:val="ListParagraph"/>
        <w:numPr>
          <w:ilvl w:val="0"/>
          <w:numId w:val="2"/>
        </w:numPr>
        <w:spacing w:after="40" w:before="40"/>
      </w:pPr>
      <w:r>
        <w:rPr>
          <w:rFonts w:ascii="Arial" w:cs="Arial" w:eastAsia="Arial" w:hAnsi="Arial"/>
          <w:b w:val="false"/>
          <w:bCs w:val="false"/>
          <w:color w:val="404040"/>
          <w:sz w:val="22"/>
          <w:szCs w:val="22"/>
        </w:rPr>
        <w:t xml:space="preserve">Reduced GPU memory footprint, enabling larger batch sizes</w:t>
      </w:r>
    </w:p>
    <w:p>
      <w:pPr>
        <w:spacing w:after="0" w:before="120"/>
      </w:pPr>
      <w:r>
        <w:t xml:space="preserve"/>
      </w:r>
    </w:p>
    <w:p>
      <w:pPr>
        <w:pStyle w:val="Heading1"/>
      </w:pPr>
      <w:r>
        <w:rPr>
          <w:rFonts w:ascii="Arial" w:cs="Arial" w:eastAsia="Arial" w:hAnsi="Arial"/>
          <w:b/>
          <w:bCs/>
          <w:color w:val="FFFFFF"/>
          <w:sz w:val="30"/>
          <w:szCs w:val="30"/>
        </w:rPr>
        <w:t xml:space="preserve">7.  Recommended Future Improvements</w:t>
      </w:r>
    </w:p>
    <w:p>
      <w:pPr>
        <w:spacing w:after="0" w:before="40"/>
      </w:pPr>
      <w:r>
        <w:t xml:space="preserve"/>
      </w:r>
    </w:p>
    <w:p>
      <w:pPr>
        <w:pStyle w:val="ListParagraph"/>
        <w:numPr>
          <w:ilvl w:val="0"/>
          <w:numId w:val="3"/>
        </w:numPr>
        <w:spacing w:after="40" w:before="40"/>
      </w:pPr>
      <w:r>
        <w:rPr>
          <w:rFonts w:ascii="Arial" w:cs="Arial" w:eastAsia="Arial" w:hAnsi="Arial"/>
          <w:color w:val="404040"/>
          <w:sz w:val="22"/>
          <w:szCs w:val="22"/>
        </w:rPr>
        <w:t xml:space="preserve">Train for 20–30 epochs — allows the hybrid loss to converge fully and demonstrate its theoretical advantage.</w:t>
      </w:r>
    </w:p>
    <w:p>
      <w:pPr>
        <w:pStyle w:val="ListParagraph"/>
        <w:numPr>
          <w:ilvl w:val="0"/>
          <w:numId w:val="3"/>
        </w:numPr>
        <w:spacing w:after="40" w:before="40"/>
      </w:pPr>
      <w:r>
        <w:rPr>
          <w:rFonts w:ascii="Arial" w:cs="Arial" w:eastAsia="Arial" w:hAnsi="Arial"/>
          <w:color w:val="404040"/>
          <w:sz w:val="22"/>
          <w:szCs w:val="22"/>
        </w:rPr>
        <w:t xml:space="preserve">Apply data augmentation — random rotation, horizontal/vertical flipping, and brightness jitter to improve robustness.</w:t>
      </w:r>
    </w:p>
    <w:p>
      <w:pPr>
        <w:pStyle w:val="ListParagraph"/>
        <w:numPr>
          <w:ilvl w:val="0"/>
          <w:numId w:val="3"/>
        </w:numPr>
        <w:spacing w:after="40" w:before="40"/>
      </w:pPr>
      <w:r>
        <w:rPr>
          <w:rFonts w:ascii="Arial" w:cs="Arial" w:eastAsia="Arial" w:hAnsi="Arial"/>
          <w:color w:val="404040"/>
          <w:sz w:val="22"/>
          <w:szCs w:val="22"/>
        </w:rPr>
        <w:t xml:space="preserve">Add a confusion matrix — reveals which specific stage pairs are most frequently confused, guiding targeted improvements.</w:t>
      </w:r>
    </w:p>
    <w:p>
      <w:pPr>
        <w:pStyle w:val="ListParagraph"/>
        <w:numPr>
          <w:ilvl w:val="0"/>
          <w:numId w:val="3"/>
        </w:numPr>
        <w:spacing w:after="40" w:before="40"/>
      </w:pPr>
      <w:r>
        <w:rPr>
          <w:rFonts w:ascii="Arial" w:cs="Arial" w:eastAsia="Arial" w:hAnsi="Arial"/>
          <w:color w:val="404040"/>
          <w:sz w:val="22"/>
          <w:szCs w:val="22"/>
        </w:rPr>
        <w:t xml:space="preserve">Explore stronger backbones — EfficientNetB0 and ResNet50 may offer superior accuracy-to-parameter ratios.</w:t>
      </w:r>
    </w:p>
    <w:p>
      <w:pPr>
        <w:pStyle w:val="ListParagraph"/>
        <w:numPr>
          <w:ilvl w:val="0"/>
          <w:numId w:val="3"/>
        </w:numPr>
        <w:spacing w:after="40" w:before="40"/>
      </w:pPr>
      <w:r>
        <w:rPr>
          <w:rFonts w:ascii="Arial" w:cs="Arial" w:eastAsia="Arial" w:hAnsi="Arial"/>
          <w:color w:val="404040"/>
          <w:sz w:val="22"/>
          <w:szCs w:val="22"/>
        </w:rPr>
        <w:t xml:space="preserve">Perform hyperparameter tuning — optimise learning rate scheduling and the gamma parameter of focal loss.</w:t>
      </w:r>
    </w:p>
    <w:p>
      <w:pPr>
        <w:spacing w:after="0" w:before="120"/>
      </w:pPr>
      <w:r>
        <w:t xml:space="preserve"/>
      </w:r>
    </w:p>
    <w:p>
      <w:pPr>
        <w:pStyle w:val="Heading1"/>
      </w:pPr>
      <w:r>
        <w:rPr>
          <w:rFonts w:ascii="Arial" w:cs="Arial" w:eastAsia="Arial" w:hAnsi="Arial"/>
          <w:b/>
          <w:bCs/>
          <w:color w:val="FFFFFF"/>
          <w:sz w:val="30"/>
          <w:szCs w:val="30"/>
        </w:rPr>
        <w:t xml:space="preserve">8.  Final Conclusion</w:t>
      </w:r>
    </w:p>
    <w:p>
      <w:pPr>
        <w:spacing w:after="0" w:before="40"/>
      </w:pPr>
      <w:r>
        <w:t xml:space="preserve"/>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46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Result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Best Model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InceptionV3</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Best Accuracy (current)</w:t>
            </w:r>
          </w:p>
        </w:tc>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92.05%</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Best Loss (current runs)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04040"/>
                <w:sz w:val="20"/>
                <w:szCs w:val="20"/>
              </w:rPr>
              <w:t xml:space="preserve">Standard Label-Smoothed CE</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Best Future Strategy</w:t>
            </w:r>
          </w:p>
        </w:tc>
        <w:tc>
          <w:tcPr>
            <w:tcW w:type="dxa" w:w="46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50"/>
            </w:tcMar>
          </w:tcPr>
          <w:p>
            <w:pPr>
              <w:jc w:val="center"/>
            </w:pPr>
            <w:r>
              <w:rPr>
                <w:rFonts w:ascii="Arial" w:cs="Arial" w:eastAsia="Arial" w:hAnsi="Arial"/>
                <w:color w:val="404040"/>
                <w:sz w:val="20"/>
                <w:szCs w:val="20"/>
              </w:rPr>
              <w:t xml:space="preserve">Hybrid Loss + Extended Training</w:t>
            </w:r>
          </w:p>
        </w:tc>
      </w:tr>
    </w:tbl>
    <w:p>
      <w:pPr>
        <w:spacing w:after="0" w:before="80"/>
      </w:pPr>
      <w:r>
        <w:t xml:space="preserve"/>
      </w:r>
    </w:p>
    <w:p>
      <w:pPr>
        <w:spacing w:after="60" w:before="60"/>
      </w:pPr>
      <w:r>
        <w:rPr>
          <w:rFonts w:ascii="Arial" w:cs="Arial" w:eastAsia="Arial" w:hAnsi="Arial"/>
          <w:color w:val="404040"/>
          <w:sz w:val="22"/>
          <w:szCs w:val="22"/>
        </w:rPr>
        <w:t xml:space="preserve">The hybrid loss function is theoretically superior for this classification problem — it handles class imbalance, hard examples, and overconfidence simultaneously. However, its complex gradient dynamics require longer training to realise this potential. With extended training (20–30 epochs) and proper hyperparameter tuning, the hybrid loss is expected to consistently outperform the standard approach.</w:t>
      </w:r>
    </w:p>
    <w:p>
      <w:pPr>
        <w:spacing w:after="0" w:before="80"/>
      </w:pPr>
      <w:r>
        <w:t xml:space="preserve"/>
      </w:r>
    </w:p>
    <w:p>
      <w:pPr>
        <w:spacing w:after="60" w:before="60"/>
      </w:pPr>
      <w:r>
        <w:rPr>
          <w:rFonts w:ascii="Arial" w:cs="Arial" w:eastAsia="Arial" w:hAnsi="Arial"/>
          <w:color w:val="404040"/>
          <w:sz w:val="22"/>
          <w:szCs w:val="22"/>
        </w:rPr>
        <w:t xml:space="preserve">InceptionV3 with label-smoothed cross-entropy remains the recommended model for deployment, while hybrid loss with extended training is the direction for future research and clinical-grade improvement.</w:t>
      </w:r>
    </w:p>
    <w:p>
      <w:pPr>
        <w:spacing w:after="0" w:before="120"/>
      </w:pPr>
      <w:r>
        <w:t xml:space="preserv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120" w:before="360"/>
      <w:ind w:left="360" w:right="360"/>
      <w:outlineLvl w:val="0"/>
    </w:pPr>
    <w:rPr>
      <w:rFonts w:ascii="Arial" w:cs="Arial" w:eastAsia="Arial" w:hAnsi="Arial"/>
      <w:b/>
      <w:bCs/>
      <w:color w:val="FFFFFF"/>
      <w:sz w:val="30"/>
      <w:szCs w:val="30"/>
    </w:rPr>
  </w:style>
  <w:style w:type="paragraph" w:styleId="Heading2">
    <w:name w:val="Heading 2"/>
    <w:basedOn w:val="Normal"/>
    <w:next w:val="Normal"/>
    <w:qFormat/>
    <w:pPr>
      <w:pBdr>
        <w:bottom w:val="single" w:color="2E75B6" w:sz="4" w:space="4"/>
      </w:pBdr>
      <w:spacing w:after="10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2026-04-09T07:47:37.892Z</dcterms:created>
  <dcterms:modified xsi:type="dcterms:W3CDTF">2026-04-09T07:47:37.892Z</dcterms:modified>
</cp:coreProperties>
</file>

<file path=docProps/custom.xml><?xml version="1.0" encoding="utf-8"?>
<Properties xmlns="http://schemas.openxmlformats.org/officeDocument/2006/custom-properties" xmlns:vt="http://schemas.openxmlformats.org/officeDocument/2006/docPropsVTypes"/>
</file>