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none"/>
              <w:bottom w:val="single" w:color="2E75B6" w:sz="8"/>
              <w:right w:val="none"/>
            </w:tcBorders>
            <w:shd w:fill="1F4E79" w:val="clear"/>
            <w:tcMar>
              <w:top w:type="dxa" w:w="360"/>
              <w:left w:type="dxa" w:w="360"/>
              <w:bottom w:type="dxa" w:w="360"/>
              <w:right w:type="dxa" w:w="360"/>
            </w:tcMar>
          </w:tcPr>
          <w:p>
            <w:pPr>
              <w:spacing w:after="80" w:before="0"/>
            </w:pPr>
            <w:r>
              <w:rPr>
                <w:rFonts w:ascii="Arial" w:cs="Arial" w:eastAsia="Arial" w:hAnsi="Arial"/>
                <w:b/>
                <w:bCs/>
                <w:color w:val="FFFFFF"/>
                <w:sz w:val="36"/>
                <w:szCs w:val="36"/>
              </w:rPr>
              <w:t xml:space="preserve">Informatica Conversion Tool</w:t>
            </w:r>
          </w:p>
          <w:p>
            <w:pPr>
              <w:spacing w:after="120" w:before="0"/>
            </w:pPr>
            <w:r>
              <w:rPr>
                <w:rFonts w:ascii="Arial" w:cs="Arial" w:eastAsia="Arial" w:hAnsi="Arial"/>
                <w:color w:val="D5E8F0"/>
                <w:sz w:val="28"/>
                <w:szCs w:val="28"/>
              </w:rPr>
              <w:t xml:space="preserve">Pre-Conversion Best Practices Guide</w:t>
            </w:r>
          </w:p>
          <w:p>
            <w:pPr>
              <w:spacing w:after="0" w:before="0"/>
            </w:pPr>
            <w:r>
              <w:rPr>
                <w:rFonts w:ascii="Arial" w:cs="Arial" w:eastAsia="Arial" w:hAnsi="Arial"/>
                <w:color w:val="D5E8F0"/>
                <w:sz w:val="18"/>
                <w:szCs w:val="18"/>
              </w:rPr>
              <w:t xml:space="preserve">Version 2.8.0  •  For Data Migration Engineers and Reviewers</w:t>
            </w:r>
          </w:p>
        </w:tc>
      </w:tr>
    </w:tbl>
    <w:p>
      <w:pPr>
        <w:spacing w:after="0" w:before="200"/>
      </w:pPr>
    </w:p>
    <w:p>
      <w:pPr>
        <w:pStyle w:val="Heading1"/>
        <w:spacing w:after="160" w:before="320"/>
      </w:pPr>
      <w:r>
        <w:rPr>
          <w:rFonts w:ascii="Arial" w:cs="Arial" w:eastAsia="Arial" w:hAnsi="Arial"/>
          <w:b/>
          <w:bCs/>
          <w:color w:val="1F4E79"/>
          <w:sz w:val="32"/>
          <w:szCs w:val="32"/>
        </w:rPr>
        <w:t xml:space="preserve">1. Purpose of This Guide</w:t>
      </w:r>
    </w:p>
    <w:p>
      <w:pPr>
        <w:spacing w:after="80" w:before="60"/>
      </w:pPr>
      <w:r>
        <w:rPr>
          <w:rFonts w:ascii="Arial" w:cs="Arial" w:eastAsia="Arial" w:hAnsi="Arial"/>
          <w:color w:val="1A1A1A"/>
          <w:sz w:val="22"/>
          <w:szCs w:val="22"/>
        </w:rPr>
        <w:t xml:space="preserve">This guide helps you prepare Informatica PowerCenter mapping exports for the best possible automated conversion result. Following these practices before uploading reduces the number of manual review actions required, avoids common blocking errors, and produces cleaner generated code.</w:t>
      </w:r>
    </w:p>
    <w:p>
      <w:pPr>
        <w:spacing w:after="80" w:before="60"/>
      </w:pPr>
      <w:r>
        <w:rPr>
          <w:rFonts w:ascii="Arial" w:cs="Arial" w:eastAsia="Arial" w:hAnsi="Arial"/>
          <w:color w:val="1A1A1A"/>
          <w:sz w:val="22"/>
          <w:szCs w:val="22"/>
        </w:rPr>
        <w:t xml:space="preserve">The tool converts automatically and handles many imperfections in source mappings. This guide tells you what the tool handles automatically, what it needs your help with, and how to make both faster.</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2. What to Upload</w:t>
      </w:r>
    </w:p>
    <w:p>
      <w:pPr>
        <w:pStyle w:val="Heading2"/>
        <w:spacing w:after="120" w:before="240"/>
      </w:pPr>
      <w:r>
        <w:rPr>
          <w:rFonts w:ascii="Arial" w:cs="Arial" w:eastAsia="Arial" w:hAnsi="Arial"/>
          <w:b/>
          <w:bCs/>
          <w:color w:val="2E75B6"/>
          <w:sz w:val="26"/>
          <w:szCs w:val="26"/>
        </w:rPr>
        <w:t xml:space="preserve">2.1 File Types</w:t>
      </w:r>
    </w:p>
    <w:p>
      <w:pPr>
        <w:spacing w:after="80" w:before="60"/>
      </w:pPr>
      <w:r>
        <w:rPr>
          <w:rFonts w:ascii="Arial" w:cs="Arial" w:eastAsia="Arial" w:hAnsi="Arial"/>
          <w:color w:val="1A1A1A"/>
          <w:sz w:val="22"/>
          <w:szCs w:val="22"/>
        </w:rPr>
        <w:t xml:space="preserve">The tool accepts three types of files per mapping. Only the Mapping XML is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Unlocks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Mapping XML</w:t>
            </w:r>
            <w:r>
              <w:rPr>
                <w:rFonts w:ascii="Arial" w:cs="Arial" w:eastAsia="Arial" w:hAnsi="Arial"/>
                <w:color w:val="1A1A1A"/>
                <w:sz w:val="22"/>
                <w:szCs w:val="22"/>
              </w:rPr>
              <w:t xml:space="preserve">
(.xml export from Informatica Designer)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Yes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Core conversion. Parser extracts all transformations, connectors, expressions, ports, and source/target definitions.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Workflow XML</w:t>
            </w:r>
            <w:r>
              <w:rPr>
                <w:rFonts w:ascii="Arial" w:cs="Arial" w:eastAsia="Arial" w:hAnsi="Arial"/>
                <w:color w:val="1A1A1A"/>
                <w:sz w:val="22"/>
                <w:szCs w:val="22"/>
              </w:rPr>
              <w:t xml:space="preserve">
(optional companion)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Enables $$VARIABLE cross-referencing, session config extraction (commit interval, error threshold, reject file), and YAML config artifact generation.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Parameter File</w:t>
            </w:r>
            <w:r>
              <w:rPr>
                <w:rFonts w:ascii="Arial" w:cs="Arial" w:eastAsia="Arial" w:hAnsi="Arial"/>
                <w:color w:val="1A1A1A"/>
                <w:sz w:val="22"/>
                <w:szCs w:val="22"/>
              </w:rPr>
              <w:t xml:space="preserve">
(.txt or .param)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Resolves all $$VARIABLE references in filter conditions, SQL overrides, and expressions. Without it, unresolved $$VARs appear as UNRESOLVED_VARIABLE flags.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Tip — Upload All Three When Available</w:t>
            </w:r>
          </w:p>
          <w:p>
            <w:pPr>
              <w:spacing w:after="40" w:before="0"/>
            </w:pPr>
            <w:r>
              <w:rPr>
                <w:rFonts w:ascii="Arial" w:cs="Arial" w:eastAsia="Arial" w:hAnsi="Arial"/>
                <w:color w:val="1A1A1A"/>
                <w:sz w:val="22"/>
                <w:szCs w:val="22"/>
              </w:rPr>
              <w:t xml:space="preserve">Even if you do not have the parameter file, upload the workflow XML alongside the mapping XML. The session config it contains (connections, pre/post session SQL, commit settings) is used to generate ready-to-use YAML config artifacts that save significant manual setup time.</w:t>
            </w:r>
          </w:p>
        </w:tc>
      </w:tr>
    </w:tbl>
    <w:p>
      <w:pPr>
        <w:spacing w:after="0" w:before="160"/>
      </w:pPr>
    </w:p>
    <w:p>
      <w:pPr>
        <w:pStyle w:val="Heading2"/>
        <w:spacing w:after="120" w:before="240"/>
      </w:pPr>
      <w:r>
        <w:rPr>
          <w:rFonts w:ascii="Arial" w:cs="Arial" w:eastAsia="Arial" w:hAnsi="Arial"/>
          <w:b/>
          <w:bCs/>
          <w:color w:val="2E75B6"/>
          <w:sz w:val="26"/>
          <w:szCs w:val="26"/>
        </w:rPr>
        <w:t xml:space="preserve">2.2 ZIP Upload</w:t>
      </w:r>
    </w:p>
    <w:p>
      <w:pPr>
        <w:spacing w:after="80" w:before="60"/>
      </w:pPr>
      <w:r>
        <w:rPr>
          <w:rFonts w:ascii="Arial" w:cs="Arial" w:eastAsia="Arial" w:hAnsi="Arial"/>
          <w:color w:val="1A1A1A"/>
          <w:sz w:val="22"/>
          <w:szCs w:val="22"/>
        </w:rPr>
        <w:t xml:space="preserve">You can upload a single ZIP archive instead of individual files. The tool auto-detects file types by XML content — not by filename — so naming does not matter.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Upload Mode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Individual Files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with up to three files. Most common for one-off conversions.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ZIP Archive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bundled as a ZIP. Equivalent to individual files; file types auto-detected.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Batch ZIP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Multiple mappings at once. One subfolder per mapping inside the ZIP. Up to 3 run concurrently.</w:t>
            </w:r>
          </w:p>
        </w:tc>
      </w:tr>
    </w:tbl>
    <w:p>
      <w:pPr>
        <w:spacing w:after="0" w:before="160"/>
      </w:pPr>
    </w:p>
    <w:p>
      <w:pPr>
        <w:spacing w:after="80" w:before="60"/>
      </w:pPr>
      <w:r>
        <w:rPr>
          <w:rFonts w:ascii="Arial" w:cs="Arial" w:eastAsia="Arial" w:hAnsi="Arial"/>
          <w:b/>
          <w:bCs/>
          <w:color w:val="1A1A1A"/>
          <w:sz w:val="22"/>
          <w:szCs w:val="22"/>
        </w:rPr>
        <w:t xml:space="preserve">Batch ZIP structure: </w:t>
      </w:r>
      <w:r>
        <w:rPr>
          <w:rFonts w:ascii="Arial" w:cs="Arial" w:eastAsia="Arial" w:hAnsi="Arial"/>
          <w:color w:val="1A1A1A"/>
          <w:sz w:val="22"/>
          <w:szCs w:val="22"/>
        </w:rPr>
        <w:t xml:space="preserve">one subfolder per mapping, each containing its mapping.xml and optional workflow.xml / params.txt.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batch.zip/</w:t>
            </w:r>
          </w:p>
          <w:p>
            <w:pPr>
              <w:spacing w:after="0" w:before="0"/>
            </w:pPr>
            <w:r>
              <w:rPr>
                <w:rFonts w:ascii="Courier New" w:cs="Courier New" w:eastAsia="Courier New" w:hAnsi="Courier New"/>
                <w:color w:val="D4D4D4"/>
                <w:sz w:val="18"/>
                <w:szCs w:val="18"/>
              </w:rPr>
              <w:t xml:space="preserve">  mapping_a/</w:t>
            </w:r>
          </w:p>
          <w:p>
            <w:pPr>
              <w:spacing w:after="0" w:before="0"/>
            </w:pPr>
            <w:r>
              <w:rPr>
                <w:rFonts w:ascii="Courier New" w:cs="Courier New" w:eastAsia="Courier New" w:hAnsi="Courier New"/>
                <w:color w:val="D4D4D4"/>
                <w:sz w:val="18"/>
                <w:szCs w:val="18"/>
              </w:rPr>
              <w:t xml:space="preserve">    mapping.xml       ← required</w:t>
            </w:r>
          </w:p>
          <w:p>
            <w:pPr>
              <w:spacing w:after="0" w:before="0"/>
            </w:pPr>
            <w:r>
              <w:rPr>
                <w:rFonts w:ascii="Courier New" w:cs="Courier New" w:eastAsia="Courier New" w:hAnsi="Courier New"/>
                <w:color w:val="D4D4D4"/>
                <w:sz w:val="18"/>
                <w:szCs w:val="18"/>
              </w:rPr>
              <w:t xml:space="preserve">    workflow.xml      ← optional</w:t>
            </w:r>
          </w:p>
          <w:p>
            <w:pPr>
              <w:spacing w:after="0" w:before="0"/>
            </w:pPr>
            <w:r>
              <w:rPr>
                <w:rFonts w:ascii="Courier New" w:cs="Courier New" w:eastAsia="Courier New" w:hAnsi="Courier New"/>
                <w:color w:val="D4D4D4"/>
                <w:sz w:val="18"/>
                <w:szCs w:val="18"/>
              </w:rPr>
              <w:t xml:space="preserve">    params.txt        ← optional</w:t>
            </w:r>
          </w:p>
          <w:p>
            <w:pPr>
              <w:spacing w:after="0" w:before="0"/>
            </w:pPr>
            <w:r>
              <w:rPr>
                <w:rFonts w:ascii="Courier New" w:cs="Courier New" w:eastAsia="Courier New" w:hAnsi="Courier New"/>
                <w:color w:val="D4D4D4"/>
                <w:sz w:val="18"/>
                <w:szCs w:val="18"/>
              </w:rPr>
              <w:t xml:space="preserve">  mapping_b/</w:t>
            </w:r>
          </w:p>
          <w:p>
            <w:pPr>
              <w:spacing w:after="0" w:before="0"/>
            </w:pPr>
            <w:r>
              <w:rPr>
                <w:rFonts w:ascii="Courier New" w:cs="Courier New" w:eastAsia="Courier New" w:hAnsi="Courier New"/>
                <w:color w:val="D4D4D4"/>
                <w:sz w:val="18"/>
                <w:szCs w:val="18"/>
              </w:rPr>
              <w:t xml:space="preserve">    mapping.xml</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3. Mapping Health Check (Before You Upload)</w:t>
      </w:r>
    </w:p>
    <w:p>
      <w:pPr>
        <w:spacing w:after="80" w:before="60"/>
      </w:pPr>
      <w:r>
        <w:rPr>
          <w:rFonts w:ascii="Arial" w:cs="Arial" w:eastAsia="Arial" w:hAnsi="Arial"/>
          <w:color w:val="1A1A1A"/>
          <w:sz w:val="22"/>
          <w:szCs w:val="22"/>
        </w:rPr>
        <w:t xml:space="preserve">Run through this checklist in Informatica Designer before exporting. Each item either prevents a blocking error or improves the quality of generated code.</w:t>
      </w:r>
    </w:p>
    <w:p>
      <w:pPr>
        <w:spacing w:after="0" w:before="120"/>
      </w:pPr>
    </w:p>
    <w:p>
      <w:pPr>
        <w:pStyle w:val="Heading2"/>
        <w:spacing w:after="120" w:before="240"/>
      </w:pPr>
      <w:r>
        <w:rPr>
          <w:rFonts w:ascii="Arial" w:cs="Arial" w:eastAsia="Arial" w:hAnsi="Arial"/>
          <w:b/>
          <w:bCs/>
          <w:color w:val="2E75B6"/>
          <w:sz w:val="26"/>
          <w:szCs w:val="26"/>
        </w:rPr>
        <w:t xml:space="preserve">3.1 Export the Right Thing</w:t>
      </w:r>
    </w:p>
    <w:p>
      <w:pPr>
        <w:pStyle w:val="ListParagraph"/>
        <w:numPr>
          <w:ilvl w:val="0"/>
          <w:numId w:val="2"/>
        </w:numPr>
        <w:spacing w:after="40" w:before="40"/>
      </w:pPr>
      <w:r>
        <w:rPr>
          <w:rFonts w:ascii="Arial" w:cs="Arial" w:eastAsia="Arial" w:hAnsi="Arial"/>
          <w:b/>
          <w:bCs/>
          <w:color w:val="1A1A1A"/>
          <w:sz w:val="22"/>
          <w:szCs w:val="22"/>
        </w:rPr>
        <w:t xml:space="preserve">Mapping XML only</w:t>
      </w:r>
      <w:r>
        <w:rPr>
          <w:rFonts w:ascii="Arial" w:cs="Arial" w:eastAsia="Arial" w:hAnsi="Arial"/>
          <w:color w:val="1A1A1A"/>
          <w:sz w:val="22"/>
          <w:szCs w:val="22"/>
        </w:rPr>
        <w:t xml:space="preserve"> — export from </w:t>
      </w:r>
      <w:r>
        <w:rPr>
          <w:rFonts w:ascii="Arial" w:cs="Arial" w:eastAsia="Arial" w:hAnsi="Arial"/>
          <w:b/>
          <w:bCs/>
          <w:color w:val="1A1A1A"/>
          <w:sz w:val="22"/>
          <w:szCs w:val="22"/>
        </w:rPr>
        <w:t xml:space="preserve">Designer → Repository → Export</w:t>
      </w:r>
      <w:r>
        <w:rPr>
          <w:rFonts w:ascii="Arial" w:cs="Arial" w:eastAsia="Arial" w:hAnsi="Arial"/>
          <w:color w:val="1A1A1A"/>
          <w:sz w:val="22"/>
          <w:szCs w:val="22"/>
        </w:rPr>
        <w:t xml:space="preserve">. Do not export Workflows as your primary mapping file. Uploading a Workflow XML as a Mapping XML produces an immediate BLOCKED result.</w:t>
      </w:r>
    </w:p>
    <w:p>
      <w:pPr>
        <w:pStyle w:val="ListParagraph"/>
        <w:numPr>
          <w:ilvl w:val="0"/>
          <w:numId w:val="2"/>
        </w:numPr>
        <w:spacing w:after="40" w:before="40"/>
      </w:pPr>
      <w:r>
        <w:rPr>
          <w:rFonts w:ascii="Arial" w:cs="Arial" w:eastAsia="Arial" w:hAnsi="Arial"/>
          <w:b/>
          <w:bCs/>
          <w:color w:val="1A1A1A"/>
          <w:sz w:val="22"/>
          <w:szCs w:val="22"/>
        </w:rPr>
        <w:t xml:space="preserve">Validate before export</w:t>
      </w:r>
      <w:r>
        <w:rPr>
          <w:rFonts w:ascii="Arial" w:cs="Arial" w:eastAsia="Arial" w:hAnsi="Arial"/>
          <w:color w:val="1A1A1A"/>
          <w:sz w:val="22"/>
          <w:szCs w:val="22"/>
        </w:rPr>
        <w:t xml:space="preserve"> — run </w:t>
      </w:r>
      <w:r>
        <w:rPr>
          <w:rFonts w:ascii="Arial" w:cs="Arial" w:eastAsia="Arial" w:hAnsi="Arial"/>
          <w:b/>
          <w:bCs/>
          <w:color w:val="1A1A1A"/>
          <w:sz w:val="22"/>
          <w:szCs w:val="22"/>
        </w:rPr>
        <w:t xml:space="preserve">Edit → Validate</w:t>
      </w:r>
      <w:r>
        <w:rPr>
          <w:rFonts w:ascii="Arial" w:cs="Arial" w:eastAsia="Arial" w:hAnsi="Arial"/>
          <w:color w:val="1A1A1A"/>
          <w:sz w:val="22"/>
          <w:szCs w:val="22"/>
        </w:rPr>
        <w:t xml:space="preserve"> in Designer. An invalid mapping will still export and parse, but may have incomplete connector sets that confuse the converter.</w:t>
      </w:r>
    </w:p>
    <w:p>
      <w:pPr>
        <w:pStyle w:val="ListParagraph"/>
        <w:numPr>
          <w:ilvl w:val="0"/>
          <w:numId w:val="2"/>
        </w:numPr>
        <w:spacing w:after="40" w:before="40"/>
      </w:pPr>
      <w:r>
        <w:rPr>
          <w:rFonts w:ascii="Arial" w:cs="Arial" w:eastAsia="Arial" w:hAnsi="Arial"/>
          <w:b/>
          <w:bCs/>
          <w:color w:val="1A1A1A"/>
          <w:sz w:val="22"/>
          <w:szCs w:val="22"/>
        </w:rPr>
        <w:t xml:space="preserve">UTF-8 encoding</w:t>
      </w:r>
      <w:r>
        <w:rPr>
          <w:rFonts w:ascii="Arial" w:cs="Arial" w:eastAsia="Arial" w:hAnsi="Arial"/>
          <w:color w:val="1A1A1A"/>
          <w:sz w:val="22"/>
          <w:szCs w:val="22"/>
        </w:rPr>
        <w:t xml:space="preserve"> — ensure the exported XML is UTF-8. Non-UTF-8 encodings can cause parse failures on special characters in expressions.</w:t>
      </w:r>
    </w:p>
    <w:p>
      <w:pPr>
        <w:spacing w:after="0" w:before="100"/>
      </w:pPr>
    </w:p>
    <w:p>
      <w:pPr>
        <w:pStyle w:val="Heading2"/>
        <w:spacing w:after="120" w:before="240"/>
      </w:pPr>
      <w:r>
        <w:rPr>
          <w:rFonts w:ascii="Arial" w:cs="Arial" w:eastAsia="Arial" w:hAnsi="Arial"/>
          <w:b/>
          <w:bCs/>
          <w:color w:val="2E75B6"/>
          <w:sz w:val="26"/>
          <w:szCs w:val="26"/>
        </w:rPr>
        <w:t xml:space="preserve">3.2 Sources and Targets</w:t>
      </w:r>
    </w:p>
    <w:p>
      <w:pPr>
        <w:pStyle w:val="ListParagraph"/>
        <w:numPr>
          <w:ilvl w:val="0"/>
          <w:numId w:val="2"/>
        </w:numPr>
        <w:spacing w:after="40" w:before="40"/>
      </w:pPr>
      <w:r>
        <w:rPr>
          <w:rFonts w:ascii="Arial" w:cs="Arial" w:eastAsia="Arial" w:hAnsi="Arial"/>
          <w:b/>
          <w:bCs/>
          <w:color w:val="1A1A1A"/>
          <w:sz w:val="22"/>
          <w:szCs w:val="22"/>
        </w:rPr>
        <w:t xml:space="preserve">Every source should have a Source Qualifier</w:t>
      </w:r>
      <w:r>
        <w:rPr>
          <w:rFonts w:ascii="Arial" w:cs="Arial" w:eastAsia="Arial" w:hAnsi="Arial"/>
          <w:color w:val="1A1A1A"/>
          <w:sz w:val="22"/>
          <w:szCs w:val="22"/>
        </w:rPr>
        <w:t xml:space="preserve"> (SQ_*) connected to the mapping flow. The tool recognises three patterns: exact SQ_{name} naming, abbreviated SQ names where the stem matches part of the source name (e.g. SQ_APPRAISALS for CORELOGIC_APPRAISALS), and reference/dimension tables read directly by a Lookup transformation with no SQ (e.g. REF_COUNTY_LIMITS via LKP_COUNTY_LIMITS). Only sources that genuinely have no connection to the mapping flow are flagged.</w:t>
      </w:r>
    </w:p>
    <w:p>
      <w:pPr>
        <w:pStyle w:val="ListParagraph"/>
        <w:numPr>
          <w:ilvl w:val="0"/>
          <w:numId w:val="2"/>
        </w:numPr>
        <w:spacing w:after="40" w:before="40"/>
      </w:pPr>
      <w:r>
        <w:rPr>
          <w:rFonts w:ascii="Arial" w:cs="Arial" w:eastAsia="Arial" w:hAnsi="Arial"/>
          <w:b/>
          <w:bCs/>
          <w:color w:val="1A1A1A"/>
          <w:sz w:val="22"/>
          <w:szCs w:val="22"/>
        </w:rPr>
        <w:t xml:space="preserve">Target definitions should be present</w:t>
      </w:r>
      <w:r>
        <w:rPr>
          <w:rFonts w:ascii="Arial" w:cs="Arial" w:eastAsia="Arial" w:hAnsi="Arial"/>
          <w:color w:val="1A1A1A"/>
          <w:sz w:val="22"/>
          <w:szCs w:val="22"/>
        </w:rPr>
        <w:t xml:space="preserve"> — if a target table definition was deleted from the repository but the mapping still references it, the parser may produce an incomplete target schema.</w:t>
      </w:r>
    </w:p>
    <w:p>
      <w:pPr>
        <w:pStyle w:val="ListParagraph"/>
        <w:numPr>
          <w:ilvl w:val="0"/>
          <w:numId w:val="2"/>
        </w:numPr>
        <w:spacing w:after="40" w:before="40"/>
      </w:pPr>
      <w:r>
        <w:rPr>
          <w:rFonts w:ascii="Arial" w:cs="Arial" w:eastAsia="Arial" w:hAnsi="Arial"/>
          <w:b/>
          <w:bCs/>
          <w:color w:val="1A1A1A"/>
          <w:sz w:val="22"/>
          <w:szCs w:val="22"/>
        </w:rPr>
        <w:t xml:space="preserve">Check for unused source definitions</w:t>
      </w:r>
      <w:r>
        <w:rPr>
          <w:rFonts w:ascii="Arial" w:cs="Arial" w:eastAsia="Arial" w:hAnsi="Arial"/>
          <w:color w:val="1A1A1A"/>
          <w:sz w:val="22"/>
          <w:szCs w:val="22"/>
        </w:rPr>
        <w:t xml:space="preserve"> — sources that are defined but not connected to any transformation will be flagged as DEAD_LOGIC. The tool will comment them out in generated code, but you may want to clean them up first.</w:t>
      </w:r>
    </w:p>
    <w:p>
      <w:pPr>
        <w:spacing w:after="0" w:before="100"/>
      </w:pPr>
    </w:p>
    <w:p>
      <w:pPr>
        <w:pStyle w:val="Heading2"/>
        <w:spacing w:after="120" w:before="240"/>
      </w:pPr>
      <w:r>
        <w:rPr>
          <w:rFonts w:ascii="Arial" w:cs="Arial" w:eastAsia="Arial" w:hAnsi="Arial"/>
          <w:b/>
          <w:bCs/>
          <w:color w:val="2E75B6"/>
          <w:sz w:val="26"/>
          <w:szCs w:val="26"/>
        </w:rPr>
        <w:t xml:space="preserve">3.3 Expressions and Parameters</w:t>
      </w:r>
    </w:p>
    <w:p>
      <w:pPr>
        <w:pStyle w:val="ListParagraph"/>
        <w:numPr>
          <w:ilvl w:val="0"/>
          <w:numId w:val="2"/>
        </w:numPr>
        <w:spacing w:after="40" w:before="40"/>
      </w:pPr>
      <w:r>
        <w:rPr>
          <w:rFonts w:ascii="Arial" w:cs="Arial" w:eastAsia="Arial" w:hAnsi="Arial"/>
          <w:b/>
          <w:bCs/>
          <w:color w:val="1A1A1A"/>
          <w:sz w:val="22"/>
          <w:szCs w:val="22"/>
        </w:rPr>
        <w:t xml:space="preserve">Resolve $$VARIABLES where possible</w:t>
      </w:r>
      <w:r>
        <w:rPr>
          <w:rFonts w:ascii="Arial" w:cs="Arial" w:eastAsia="Arial" w:hAnsi="Arial"/>
          <w:color w:val="1A1A1A"/>
          <w:sz w:val="22"/>
          <w:szCs w:val="22"/>
        </w:rPr>
        <w:t xml:space="preserve"> — upload the parameter file. $$VARs used in filter conditions or join conditions that are unresolved produce placeholder config entries in generated code, which must be filled in manually before running.</w:t>
      </w:r>
    </w:p>
    <w:p>
      <w:pPr>
        <w:pStyle w:val="ListParagraph"/>
        <w:numPr>
          <w:ilvl w:val="0"/>
          <w:numId w:val="2"/>
        </w:numPr>
        <w:spacing w:after="40" w:before="40"/>
      </w:pPr>
      <w:r>
        <w:rPr>
          <w:rFonts w:ascii="Arial" w:cs="Arial" w:eastAsia="Arial" w:hAnsi="Arial"/>
          <w:b/>
          <w:bCs/>
          <w:color w:val="1A1A1A"/>
          <w:sz w:val="22"/>
          <w:szCs w:val="22"/>
        </w:rPr>
        <w:t xml:space="preserve">Review SQL overrides</w:t>
      </w:r>
      <w:r>
        <w:rPr>
          <w:rFonts w:ascii="Arial" w:cs="Arial" w:eastAsia="Arial" w:hAnsi="Arial"/>
          <w:color w:val="1A1A1A"/>
          <w:sz w:val="22"/>
          <w:szCs w:val="22"/>
        </w:rPr>
        <w:t xml:space="preserve"> — Source Qualifiers with custom SQL overrides are flagged as SQL_REVIEW_REQUIRED. The tool cannot automatically convert database-specific SQL. Translate manually or simplify the SQ to use standard columns.</w:t>
      </w:r>
    </w:p>
    <w:p>
      <w:pPr>
        <w:pStyle w:val="ListParagraph"/>
        <w:numPr>
          <w:ilvl w:val="0"/>
          <w:numId w:val="2"/>
        </w:numPr>
        <w:spacing w:after="40" w:before="40"/>
      </w:pPr>
      <w:r>
        <w:rPr>
          <w:rFonts w:ascii="Arial" w:cs="Arial" w:eastAsia="Arial" w:hAnsi="Arial"/>
          <w:b/>
          <w:bCs/>
          <w:color w:val="1A1A1A"/>
          <w:sz w:val="22"/>
          <w:szCs w:val="22"/>
        </w:rPr>
        <w:t xml:space="preserve">Check for expressions referencing deleted ports</w:t>
      </w:r>
      <w:r>
        <w:rPr>
          <w:rFonts w:ascii="Arial" w:cs="Arial" w:eastAsia="Arial" w:hAnsi="Arial"/>
          <w:color w:val="1A1A1A"/>
          <w:sz w:val="22"/>
          <w:szCs w:val="22"/>
        </w:rPr>
        <w:t xml:space="preserve"> — if a port was removed but an expression still references it by name, the expression will be incomplete in the generated code. Fix in Designer before exporting.</w:t>
      </w:r>
    </w:p>
    <w:p>
      <w:pPr>
        <w:spacing w:after="0" w:before="100"/>
      </w:pPr>
    </w:p>
    <w:p>
      <w:pPr>
        <w:pStyle w:val="Heading2"/>
        <w:spacing w:after="120" w:before="240"/>
      </w:pPr>
      <w:r>
        <w:rPr>
          <w:rFonts w:ascii="Arial" w:cs="Arial" w:eastAsia="Arial" w:hAnsi="Arial"/>
          <w:b/>
          <w:bCs/>
          <w:color w:val="2E75B6"/>
          <w:sz w:val="26"/>
          <w:szCs w:val="26"/>
        </w:rPr>
        <w:t xml:space="preserve">3.4 Filter Transformations</w:t>
      </w:r>
    </w:p>
    <w:p>
      <w:pPr>
        <w:pStyle w:val="ListParagraph"/>
        <w:numPr>
          <w:ilvl w:val="0"/>
          <w:numId w:val="2"/>
        </w:numPr>
        <w:spacing w:after="40" w:before="40"/>
      </w:pPr>
      <w:r>
        <w:rPr>
          <w:rFonts w:ascii="Arial" w:cs="Arial" w:eastAsia="Arial" w:hAnsi="Arial"/>
          <w:b/>
          <w:bCs/>
          <w:color w:val="1A1A1A"/>
          <w:sz w:val="22"/>
          <w:szCs w:val="22"/>
        </w:rPr>
        <w:t xml:space="preserve">Every Filter must have a condition</w:t>
      </w:r>
      <w:r>
        <w:rPr>
          <w:rFonts w:ascii="Arial" w:cs="Arial" w:eastAsia="Arial" w:hAnsi="Arial"/>
          <w:color w:val="1A1A1A"/>
          <w:sz w:val="22"/>
          <w:szCs w:val="22"/>
        </w:rPr>
        <w:t xml:space="preserve"> — a Filter transformation with no condition is treated as INCOMPLETE_LOGIC. The tool generates a pass-through (all records proceed) with a TODO comment. Confirm the intended filter rule with the mapping owner before running in production.</w:t>
      </w:r>
    </w:p>
    <w:p>
      <w:pPr>
        <w:pStyle w:val="ListParagraph"/>
        <w:numPr>
          <w:ilvl w:val="0"/>
          <w:numId w:val="2"/>
        </w:numPr>
        <w:spacing w:after="40" w:before="40"/>
      </w:pPr>
      <w:r>
        <w:rPr>
          <w:rFonts w:ascii="Arial" w:cs="Arial" w:eastAsia="Arial" w:hAnsi="Arial"/>
          <w:b/>
          <w:bCs/>
          <w:color w:val="1A1A1A"/>
          <w:sz w:val="22"/>
          <w:szCs w:val="22"/>
        </w:rPr>
        <w:t xml:space="preserve">Every Router group should have a condition</w:t>
      </w:r>
      <w:r>
        <w:rPr>
          <w:rFonts w:ascii="Arial" w:cs="Arial" w:eastAsia="Arial" w:hAnsi="Arial"/>
          <w:color w:val="1A1A1A"/>
          <w:sz w:val="22"/>
          <w:szCs w:val="22"/>
        </w:rPr>
        <w:t xml:space="preserve"> — Router groups with undefined conditions are treated the same as a Filter with no condition: pass-through with a TODO stub.</w:t>
      </w:r>
    </w:p>
    <w:p>
      <w:pPr>
        <w:spacing w:after="0" w:before="100"/>
      </w:pPr>
    </w:p>
    <w:p>
      <w:pPr>
        <w:pStyle w:val="Heading2"/>
        <w:spacing w:after="120" w:before="240"/>
      </w:pPr>
      <w:r>
        <w:rPr>
          <w:rFonts w:ascii="Arial" w:cs="Arial" w:eastAsia="Arial" w:hAnsi="Arial"/>
          <w:b/>
          <w:bCs/>
          <w:color w:val="2E75B6"/>
          <w:sz w:val="26"/>
          <w:szCs w:val="26"/>
        </w:rPr>
        <w:t xml:space="preserve">3.5 Unsupported Transformation Types</w:t>
      </w:r>
    </w:p>
    <w:p>
      <w:pPr>
        <w:spacing w:after="80" w:before="60"/>
      </w:pPr>
      <w:r>
        <w:rPr>
          <w:rFonts w:ascii="Arial" w:cs="Arial" w:eastAsia="Arial" w:hAnsi="Arial"/>
          <w:color w:val="1A1A1A"/>
          <w:sz w:val="22"/>
          <w:szCs w:val="22"/>
        </w:rPr>
        <w:t xml:space="preserve">The following transformation types cannot be automatically converted. If your mapping contains any of them, the tool will generate a clearly-marked manual stub and flag the mapping as requiring manual implementation for those transformations.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Unsupported Transformation Types</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 custom Java logic must be rewritten manually</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External Procedure — DLL/shared library calls require manual re-implementation</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Advanced External Procedure — same as External Procedure</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Stored Procedure — database procedure calls require manual resolution</w:t>
            </w:r>
          </w:p>
        </w:tc>
      </w:tr>
    </w:tbl>
    <w:p>
      <w:pPr>
        <w:spacing w:after="0" w:before="160"/>
      </w:pPr>
    </w:p>
    <w:p>
      <w:pPr>
        <w:spacing w:after="80" w:before="60"/>
      </w:pPr>
      <w:r>
        <w:rPr>
          <w:rFonts w:ascii="Arial" w:cs="Arial" w:eastAsia="Arial" w:hAnsi="Arial"/>
          <w:color w:val="1A1A1A"/>
          <w:sz w:val="22"/>
          <w:szCs w:val="22"/>
        </w:rPr>
        <w:t xml:space="preserve">All other transformation types — </w:t>
      </w:r>
      <w:r>
        <w:rPr>
          <w:rFonts w:ascii="Arial" w:cs="Arial" w:eastAsia="Arial" w:hAnsi="Arial"/>
          <w:b/>
          <w:bCs/>
          <w:color w:val="1A1A1A"/>
          <w:sz w:val="22"/>
          <w:szCs w:val="22"/>
        </w:rPr>
        <w:t xml:space="preserve">Expression, Filter, Aggregator, Joiner, Lookup, Router, Sorter, Union, Normalizer, Rank, Source Qualifier, Target</w:t>
      </w:r>
      <w:r>
        <w:rPr>
          <w:rFonts w:ascii="Arial" w:cs="Arial" w:eastAsia="Arial" w:hAnsi="Arial"/>
          <w:color w:val="1A1A1A"/>
          <w:sz w:val="22"/>
          <w:szCs w:val="22"/>
        </w:rPr>
        <w:t xml:space="preserve"> — are fully supported.</w:t>
      </w:r>
    </w:p>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4. What the Tool Handles Automatically</w:t>
      </w:r>
    </w:p>
    <w:p>
      <w:pPr>
        <w:spacing w:after="80" w:before="60"/>
      </w:pPr>
      <w:r>
        <w:rPr>
          <w:rFonts w:ascii="Arial" w:cs="Arial" w:eastAsia="Arial" w:hAnsi="Arial"/>
          <w:color w:val="1A1A1A"/>
          <w:sz w:val="22"/>
          <w:szCs w:val="22"/>
        </w:rPr>
        <w:t xml:space="preserve">You do not need to fix the following before uploading. The tool addresses them in generated code and clearly marks each one so you can review and confirm before promoting to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Auto-handled</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 Tool Handles It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Missing filter condition — generates pass-through + TODO comment identifying the transformation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Hardcoded environment values (server names, file paths, schema names, thresholds, rates) — extracted to a config dict/file at the top of the generated code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Lineage gap (target field with no traceable source) — generates None/NULL assignment with TODO comment for manual trace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Dead logic (transformation isolated from data flow) — commented out in generated code with explanation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 best-effort implementation with TODO comment for mapping owner confirmation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Unresolved $$VARIABLE — added to config dict as a &lt;fill_in&gt; placeholder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Orphaned port (port with no connections) — skipped with inline comment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 transformation — manual implementation stub generated with clear TODO marker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DW audit fields (DW_INSERT_DT, ETL_BATCH_ID, etc.) — populated with current_timestamp() / UUID automatically even when unmapped in Informatica</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High-risk logic (complex conditionals, multi-branch routing) — implemented with assertion checks and UAT warning comments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Documentation truncation (very large mappings) — conversion proceeds with a Gate 1 warning; no hard failure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patterns — 21 standing security rules and patterns learned from prior conversions are injected into every conversion prompt. Patterns recurring across 3+ jobs are auto-promoted to standing rules.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Output validation — after conversion, generated files are checked for empty content, &gt;60% TODO stubs, Python syntax errors, missing SparkSession (PySpark jobs), and missing SELECT (dbt models). Validation failures are surfaced as warnings in the job panel before Gate 3.</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Stuck job watchdog — a background process polls every 60 seconds and automatically marks any job that has been in an active pipeline state for more than 45 minutes as FAILED. This prevents jobs from spinning indefinitely after a server disruption.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Key Principle</w:t>
            </w:r>
          </w:p>
          <w:p>
            <w:pPr>
              <w:spacing w:after="40" w:before="0"/>
            </w:pPr>
            <w:r>
              <w:rPr>
                <w:rFonts w:ascii="Arial" w:cs="Arial" w:eastAsia="Arial" w:hAnsi="Arial"/>
                <w:color w:val="1A1A1A"/>
                <w:sz w:val="22"/>
                <w:szCs w:val="22"/>
              </w:rPr>
              <w:t xml:space="preserve">The tool produces complete, runnable code from every mapping. Where logic is ambiguous or information is missing, it generates a clearly-marked stub rather than blocking. Search for '# TODO [AUTO-FLAG]' in generated code to find every place that needs your confirmation.</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5. What Requires Human Action</w:t>
      </w:r>
    </w:p>
    <w:p>
      <w:pPr>
        <w:spacing w:after="80" w:before="60"/>
      </w:pPr>
      <w:r>
        <w:rPr>
          <w:rFonts w:ascii="Arial" w:cs="Arial" w:eastAsia="Arial" w:hAnsi="Arial"/>
          <w:color w:val="1A1A1A"/>
          <w:sz w:val="22"/>
          <w:szCs w:val="22"/>
        </w:rPr>
        <w:t xml:space="preserve">These items cannot be resolved automatically. They require your review at one of the three gate points, or in the source mapping before conversion.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Requires Human Action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SQL overrides in Source Qualifiers — database-specific SQL cannot be automatically translated; must be rewritten manually for the target stack</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External Procedure, Stored Procedure — stubs are generated but the business logic must be implemented manually</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Filter conditions that are genuinely unknown (not just missing in XML) — the mapping owner must confirm the intended rule before code goes to production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scan findings rated REQUIRES_FIXES — reviewed at Gate 2; you can request Claude to fix them (max 2 rounds), or acknowledge and proceed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Gate 1 verification flags rated CRITICAL — UNSUPPORTED_TRANSFORMATION and PARSE_FAILED block conversion until resolved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 values (&lt;fill_in&gt;) — unresolved $$VARs and environment-specific values the tool cannot guess must be filled in before running generated code</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6. Gate Decision Guide</w:t>
      </w:r>
    </w:p>
    <w:p>
      <w:pPr>
        <w:spacing w:after="80" w:before="60"/>
      </w:pPr>
      <w:r>
        <w:rPr>
          <w:rFonts w:ascii="Arial" w:cs="Arial" w:eastAsia="Arial" w:hAnsi="Arial"/>
          <w:color w:val="1A1A1A"/>
          <w:sz w:val="22"/>
          <w:szCs w:val="22"/>
        </w:rPr>
        <w:t xml:space="preserve">The pipeline pauses at three human review gates. This section explains what to look for and how to decide at each one.</w:t>
      </w:r>
    </w:p>
    <w:p>
      <w:pPr>
        <w:spacing w:after="0" w:before="120"/>
      </w:pPr>
    </w:p>
    <w:p>
      <w:pPr>
        <w:pStyle w:val="Heading2"/>
        <w:spacing w:after="120" w:before="240"/>
      </w:pPr>
      <w:r>
        <w:rPr>
          <w:rFonts w:ascii="Arial" w:cs="Arial" w:eastAsia="Arial" w:hAnsi="Arial"/>
          <w:b/>
          <w:bCs/>
          <w:color w:val="2E75B6"/>
          <w:sz w:val="26"/>
          <w:szCs w:val="26"/>
        </w:rPr>
        <w:t xml:space="preserve">Gate 1 — Human Review (After Verification, Before Code Generation)</w:t>
      </w:r>
    </w:p>
    <w:p>
      <w:pPr>
        <w:spacing w:after="80" w:before="60"/>
      </w:pPr>
      <w:r>
        <w:rPr>
          <w:rFonts w:ascii="Arial" w:cs="Arial" w:eastAsia="Arial" w:hAnsi="Arial"/>
          <w:color w:val="1A1A1A"/>
          <w:sz w:val="22"/>
          <w:szCs w:val="22"/>
        </w:rPr>
        <w:t xml:space="preserve">You see: the Verification Report (structural graph checks + Claude risk review), the Source-to-Target field mapping workbook, and the full Mapping Documentation.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4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Look For</w:t>
            </w:r>
          </w:p>
        </w:tc>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CRITICAL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UNSUPPORTED_TRANSFORMATION or PARSE_FAILED — these must be resolved in the source mapping before conversion can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REJECT</w:t>
            </w:r>
            <w:r>
              <w:rPr>
                <w:rFonts w:ascii="Arial" w:cs="Arial" w:eastAsia="Arial" w:hAnsi="Arial"/>
                <w:color w:val="1A1A1A"/>
                <w:sz w:val="22"/>
                <w:szCs w:val="22"/>
              </w:rPr>
              <w:t xml:space="preserve"> — fix in Informatica first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HIGH flags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Incomplete logic, lineage gaps, high-risk patterns. The tool auto-handles these in code. Review the auto_fix_suggestion if shown; check the box to apply it in the conversion prompt.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flags carried forward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 / LOW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orphaned ports, classification mismatch. Non-blocking. Review but generally safe to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safe to proceed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DOCUMENTATION TRUNCATED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Very large mapping exceeded token limit on documentation pass. Conversion still proceeds. The truncation flag is informational.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no action needed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Gate 1 Auto-Fix Suggestions</w:t>
            </w:r>
          </w:p>
          <w:p>
            <w:pPr>
              <w:spacing w:after="40" w:before="0"/>
            </w:pPr>
            <w:r>
              <w:rPr>
                <w:rFonts w:ascii="Arial" w:cs="Arial" w:eastAsia="Arial" w:hAnsi="Arial"/>
                <w:color w:val="1A1A1A"/>
                <w:sz w:val="22"/>
                <w:szCs w:val="22"/>
              </w:rPr>
              <w:t xml:space="preserve">Where a flag has a suggested fix, a checkbox appears. Checking it carries the suggestion directly into the Claude conversion prompt. You do not need to manually edit the mapping in Informatica — Claude will apply the fix in generated code.</w:t>
            </w:r>
          </w:p>
        </w:tc>
      </w:tr>
    </w:tbl>
    <w:p>
      <w:pPr>
        <w:spacing w:after="0" w:before="160"/>
      </w:pPr>
    </w:p>
    <w:p>
      <w:pPr>
        <w:pStyle w:val="Heading2"/>
        <w:spacing w:after="120" w:before="240"/>
      </w:pPr>
      <w:r>
        <w:rPr>
          <w:rFonts w:ascii="Arial" w:cs="Arial" w:eastAsia="Arial" w:hAnsi="Arial"/>
          <w:b/>
          <w:bCs/>
          <w:color w:val="2E75B6"/>
          <w:sz w:val="26"/>
          <w:szCs w:val="26"/>
        </w:rPr>
        <w:t xml:space="preserve">Gate 2 — Security Review (After Security Scan)</w:t>
      </w:r>
    </w:p>
    <w:p>
      <w:pPr>
        <w:spacing w:after="80" w:before="60"/>
      </w:pPr>
      <w:r>
        <w:rPr>
          <w:rFonts w:ascii="Arial" w:cs="Arial" w:eastAsia="Arial" w:hAnsi="Arial"/>
          <w:color w:val="1A1A1A"/>
          <w:sz w:val="22"/>
          <w:szCs w:val="22"/>
        </w:rPr>
        <w:t xml:space="preserve">You see: the full security scan findings from bandit + YAML regex + Claude review, with a 'How to Fix' recommendation per finding.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CLEAN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findings. Pipeline auto-proceeds without pausing.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action required.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REVIEW_RECOMMENDED</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Findings present but not blocking. Common for informational findings (assert usage, subprocess calls).</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APPROVED</w:t>
            </w:r>
            <w:r>
              <w:rPr>
                <w:rFonts w:ascii="Arial" w:cs="Arial" w:eastAsia="Arial" w:hAnsi="Arial"/>
                <w:color w:val="1A1A1A"/>
                <w:sz w:val="22"/>
                <w:szCs w:val="22"/>
              </w:rPr>
              <w:t xml:space="preserve">: proceed with findings on record
</w:t>
            </w: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ask Claude to fix (max 2 rounds)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REQUIRES_FIXES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High-severity findings: hardcoded credentials, SQL injection risk, insecure connections.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Claude regenerates code with all findings as mandatory fix context
</w:t>
            </w:r>
            <w:r>
              <w:rPr>
                <w:rFonts w:ascii="Arial" w:cs="Arial" w:eastAsia="Arial" w:hAnsi="Arial"/>
                <w:b/>
                <w:bCs/>
                <w:color w:val="1A1A1A"/>
                <w:sz w:val="22"/>
                <w:szCs w:val="22"/>
              </w:rPr>
              <w:t xml:space="preserve">ACKNOWLEDGED</w:t>
            </w:r>
            <w:r>
              <w:rPr>
                <w:rFonts w:ascii="Arial" w:cs="Arial" w:eastAsia="Arial" w:hAnsi="Arial"/>
                <w:color w:val="1A1A1A"/>
                <w:sz w:val="22"/>
                <w:szCs w:val="22"/>
              </w:rPr>
              <w:t xml:space="preserve">: accept known risk with notes on record</w:t>
            </w:r>
          </w:p>
        </w:tc>
      </w:tr>
    </w:tbl>
    <w:p>
      <w:pPr>
        <w:spacing w:after="0" w:before="160"/>
      </w:pPr>
    </w:p>
    <w:p>
      <w:pPr>
        <w:pStyle w:val="Heading2"/>
        <w:spacing w:after="120" w:before="240"/>
      </w:pPr>
      <w:r>
        <w:rPr>
          <w:rFonts w:ascii="Arial" w:cs="Arial" w:eastAsia="Arial" w:hAnsi="Arial"/>
          <w:b/>
          <w:bCs/>
          <w:color w:val="2E75B6"/>
          <w:sz w:val="26"/>
          <w:szCs w:val="26"/>
        </w:rPr>
        <w:t xml:space="preserve">Gate 3 — Code Review (Final Sign-Off)</w:t>
      </w:r>
    </w:p>
    <w:p>
      <w:pPr>
        <w:spacing w:after="80" w:before="60"/>
      </w:pPr>
      <w:r>
        <w:rPr>
          <w:rFonts w:ascii="Arial" w:cs="Arial" w:eastAsia="Arial" w:hAnsi="Arial"/>
          <w:color w:val="1A1A1A"/>
          <w:sz w:val="22"/>
          <w:szCs w:val="22"/>
        </w:rPr>
        <w:t xml:space="preserve">You see: all generated code files, test stubs, the logic equivalence report (XML-to-code rule comparison), and the security scan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Review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Logic Equivalence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Review MISMATCH and NEEDS_REVIEW rows. These indicate rules where the generated code may not perfectly match the Informatica XML. Spot-check the 'Generated Implementation' column against the 'XML Rule' column.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TODO markers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generated code for '# TODO [AUTO-FLAG]' and '# TODO [MANUAL REQUIRED]'. These mark every place the tool could not fully resolve the logic and needs your confirmation.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for '&lt;fill_in&gt;' in generated code and config files. These must be populated with real values before the code can run.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Test coverage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Generated tests cover happy-path and basic edge cases. Add UAT tests for business-critical rules identified in the verification report.</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7. Common Mistakes to Avoid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Mistake</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What to Do Instead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a Workflow XML as the Mapping XML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mapping file must contain MAPPING elements, not WORKFLOW elements. Export the mapping separately from Designer.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without the parameter file when $$VARs are used in filter or join conditions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Always include the parameter file if $$VARs appear in critical logic. Without it, those conditions become config placeholders that must be manually filled.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Rejecting at Gate 1 for HIGH-severity flags when the tool auto-handles them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tool generates a pass-through stub and TODO comment for incomplete logic. APPROVE and review the TODO in generated code instead.</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Expecting SQL override Source Qualifiers to convert automatically</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They will not. SQL overrides are flagged as SQL_REVIEW_REQUIRED at Gate 1 and require manual translation to the target stack.</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Skipping the TODO search after Gate 3 approval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all generated files for '# TODO' before promoting to production. Every unresolved flag leaves a TODO marker.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Using the tool on a mapping that hasn't been validated in Informatica Designer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An invalid mapping may export successfully but have broken connectors or expressions. Always validate in Designer first.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Ignoring the logic equivalence report at Gate 3</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MISMATCH rows indicate the generated code may deviate from the source XML. These are the highest-priority items to manually verify.</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8. Understanding Stack Assignment</w:t>
      </w:r>
    </w:p>
    <w:p>
      <w:pPr>
        <w:spacing w:after="80" w:before="60"/>
      </w:pPr>
      <w:r>
        <w:rPr>
          <w:rFonts w:ascii="Arial" w:cs="Arial" w:eastAsia="Arial" w:hAnsi="Arial"/>
          <w:color w:val="1A1A1A"/>
          <w:sz w:val="22"/>
          <w:szCs w:val="22"/>
        </w:rPr>
        <w:t xml:space="preserve">The tool automatically assigns a target stack (PySpark, dbt, or Python) based on mapping complexity and transformation types. You can request a different stack by REJECTING at Gate 1 and re-uploading — or by noting the preference in the sign-off notes (the reviewer can request a specific stack override in a future iteration).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When</w:t>
            </w:r>
          </w:p>
        </w:tc>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 or VERY_HIGH complexity, or any mapping with complex joins, multi-aggregations, or UDFs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Large data volumes, complex transformations, multi-source joins, SCD2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or MEDIUM complexity with SQL-friendly transformations (Filter, Aggregator, Lookup, Joiner)</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Data warehouse targets, SQL-expressible logic, snapshot SCDs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 (Pandas)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complexity, file-based or API sources/targets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Small datasets, simple field mapping, file conversion, API integration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Note on SCD2</w:t>
            </w:r>
          </w:p>
          <w:p>
            <w:pPr>
              <w:spacing w:after="40" w:before="0"/>
            </w:pPr>
            <w:r>
              <w:rPr>
                <w:rFonts w:ascii="Arial" w:cs="Arial" w:eastAsia="Arial" w:hAnsi="Arial"/>
                <w:color w:val="1A1A1A"/>
                <w:sz w:val="22"/>
                <w:szCs w:val="22"/>
              </w:rPr>
              <w:t xml:space="preserve">SCD2 (slowly changing dimension type 2) mappings are typically assigned to PySpark or dbt depending on complexity. dbt handles SCD2 via snapshot models. PySpark handles it with merge/upsert logic. Both are fully supported.</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9. Security Best Practices</w:t>
      </w:r>
    </w:p>
    <w:p>
      <w:pPr>
        <w:spacing w:after="80" w:before="60"/>
      </w:pPr>
      <w:r>
        <w:rPr>
          <w:rFonts w:ascii="Arial" w:cs="Arial" w:eastAsia="Arial" w:hAnsi="Arial"/>
          <w:color w:val="1A1A1A"/>
          <w:sz w:val="22"/>
          <w:szCs w:val="22"/>
        </w:rPr>
        <w:t xml:space="preserve">The tool has 21 standing security rules that are injected into every conversion prompt. The rules cover common patterns that have appeared in real job findings. Understanding them helps you review generated code faster and avoid requesting fix rounds at Gate 2.</w:t>
      </w:r>
    </w:p>
    <w:p>
      <w:pPr>
        <w:spacing w:after="0" w:before="100"/>
      </w:pPr>
    </w:p>
    <w:p>
      <w:pPr>
        <w:pStyle w:val="Heading2"/>
        <w:spacing w:after="120" w:before="240"/>
      </w:pPr>
      <w:r>
        <w:rPr>
          <w:rFonts w:ascii="Arial" w:cs="Arial" w:eastAsia="Arial" w:hAnsi="Arial"/>
          <w:b/>
          <w:bCs/>
          <w:color w:val="2E75B6"/>
          <w:sz w:val="26"/>
          <w:szCs w:val="26"/>
        </w:rPr>
        <w:t xml:space="preserve">9.1 Secrets and Credentials</w:t>
      </w:r>
    </w:p>
    <w:p>
      <w:pPr>
        <w:spacing w:after="80" w:before="60"/>
      </w:pPr>
      <w:r>
        <w:rPr>
          <w:rFonts w:ascii="Arial" w:cs="Arial" w:eastAsia="Arial" w:hAnsi="Arial"/>
          <w:color w:val="1A1A1A"/>
          <w:sz w:val="22"/>
          <w:szCs w:val="22"/>
        </w:rPr>
        <w:t xml:space="preserve">This is the most common source of Gate 2 findings. The tool will always attempt to externalise secrets, but knowing the rules helps you verify the output is correct.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dbt profiles.yml — use env_var() exclusively</w:t>
            </w:r>
          </w:p>
          <w:p>
            <w:pPr>
              <w:spacing w:after="40" w:before="0"/>
            </w:pPr>
            <w:r>
              <w:rPr>
                <w:rFonts w:ascii="Arial" w:cs="Arial" w:eastAsia="Arial" w:hAnsi="Arial"/>
                <w:color w:val="1A1A1A"/>
                <w:sz w:val="22"/>
                <w:szCs w:val="22"/>
              </w:rPr>
              <w:t xml:space="preserve">Every credential in profiles.yml must use the env_var() macro. The tool generates this automatically, but verify the output before committing:</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password: "{{ env_var('DBT_PASSWORD') }}"   ✓ correct</w:t>
            </w:r>
          </w:p>
          <w:p>
            <w:pPr>
              <w:spacing w:after="40" w:before="0"/>
            </w:pPr>
            <w:r>
              <w:rPr>
                <w:rFonts w:ascii="Arial" w:cs="Arial" w:eastAsia="Arial" w:hAnsi="Arial"/>
                <w:color w:val="1A1A1A"/>
                <w:sz w:val="22"/>
                <w:szCs w:val="22"/>
              </w:rPr>
              <w:t xml:space="preserve">  password: "mysecretpassword"                ✗ will be flagged</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If plaintext_secret_in_yaml appears in your scan, search profiles.yml for any 'password', 'token', 'secret', or 'key' field whose value is not wrapped in env_var().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env_var() calls for sensitive variables must have NO default</w:t>
            </w:r>
          </w:p>
          <w:p>
            <w:pPr>
              <w:spacing w:after="40" w:before="0"/>
            </w:pPr>
            <w:r>
              <w:rPr>
                <w:rFonts w:ascii="Arial" w:cs="Arial" w:eastAsia="Arial" w:hAnsi="Arial"/>
                <w:color w:val="1A1A1A"/>
                <w:sz w:val="22"/>
                <w:szCs w:val="22"/>
              </w:rPr>
              <w:t xml:space="preserve">A missing default means the pipeline fails loudly at startup rather than silently using a wrong value in production: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account: "{{ env_var('SNOWFLAKE_ACCOUNT') }}"         ✓ fails loudly if missing</w:t>
            </w:r>
          </w:p>
          <w:p>
            <w:pPr>
              <w:spacing w:after="40" w:before="0"/>
            </w:pPr>
            <w:r>
              <w:rPr>
                <w:rFonts w:ascii="Arial" w:cs="Arial" w:eastAsia="Arial" w:hAnsi="Arial"/>
                <w:color w:val="1A1A1A"/>
                <w:sz w:val="22"/>
                <w:szCs w:val="22"/>
              </w:rPr>
              <w:t xml:space="preserve">  account: "{{ env_var('SNOWFLAKE_ACCOUNT', 'dev') }}"  ✗ silently uses 'dev' in prod</w:t>
            </w:r>
          </w:p>
        </w:tc>
      </w:tr>
    </w:tbl>
    <w:p>
      <w:pPr>
        <w:spacing w:after="0" w:before="100"/>
      </w:pPr>
    </w:p>
    <w:p>
      <w:pPr>
        <w:pStyle w:val="Heading2"/>
        <w:spacing w:after="120" w:before="240"/>
      </w:pPr>
      <w:r>
        <w:rPr>
          <w:rFonts w:ascii="Arial" w:cs="Arial" w:eastAsia="Arial" w:hAnsi="Arial"/>
          <w:b/>
          <w:bCs/>
          <w:color w:val="2E75B6"/>
          <w:sz w:val="26"/>
          <w:szCs w:val="26"/>
        </w:rPr>
        <w:t xml:space="preserve">9.2 Oracle Connections — Always Use TCPS</w:t>
      </w:r>
    </w:p>
    <w:p>
      <w:pPr>
        <w:spacing w:after="80" w:before="60"/>
      </w:pPr>
      <w:r>
        <w:rPr>
          <w:rFonts w:ascii="Arial" w:cs="Arial" w:eastAsia="Arial" w:hAnsi="Arial"/>
          <w:color w:val="1A1A1A"/>
          <w:sz w:val="22"/>
          <w:szCs w:val="22"/>
        </w:rPr>
        <w:t xml:space="preserve">Plain TCP Oracle connections transmit credentials and query results unencrypted. Generated profiles.yml always targets TCPS. If insecure_oracle_connection_protocol appears in your scan, check: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(TCPS)</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Incorrect (plain TCP)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protocol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port</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2484</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1521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ssl_server_dn_match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(absent)</w:t>
            </w:r>
          </w:p>
        </w:tc>
      </w:tr>
    </w:tbl>
    <w:p>
      <w:pPr>
        <w:spacing w:after="0" w:before="100"/>
      </w:pPr>
    </w:p>
    <w:p>
      <w:pPr>
        <w:pStyle w:val="Heading2"/>
        <w:spacing w:after="120" w:before="240"/>
      </w:pPr>
      <w:r>
        <w:rPr>
          <w:rFonts w:ascii="Arial" w:cs="Arial" w:eastAsia="Arial" w:hAnsi="Arial"/>
          <w:b/>
          <w:bCs/>
          <w:color w:val="2E75B6"/>
          <w:sz w:val="26"/>
          <w:szCs w:val="26"/>
        </w:rPr>
        <w:t xml:space="preserve">9.3 SQL Injection — dbt Macros</w:t>
      </w:r>
    </w:p>
    <w:p>
      <w:pPr>
        <w:spacing w:after="80" w:before="60"/>
      </w:pPr>
      <w:r>
        <w:rPr>
          <w:rFonts w:ascii="Arial" w:cs="Arial" w:eastAsia="Arial" w:hAnsi="Arial"/>
          <w:color w:val="1A1A1A"/>
          <w:sz w:val="22"/>
          <w:szCs w:val="22"/>
        </w:rPr>
        <w:t xml:space="preserve">The tool generates parameterised macros, but custom SQL in pre/post hooks or manually extended macros is a common source of SQL injection findings. The two patterns to watch for:</w:t>
      </w:r>
    </w:p>
    <w:p>
      <w:pPr>
        <w:spacing w:after="0" w:before="80"/>
      </w:pPr>
    </w:p>
    <w:p>
      <w:pPr>
        <w:pStyle w:val="ListParagraph"/>
        <w:numPr>
          <w:ilvl w:val="0"/>
          <w:numId w:val="2"/>
        </w:numPr>
        <w:spacing w:after="40" w:before="40"/>
      </w:pPr>
      <w:r>
        <w:rPr>
          <w:rFonts w:ascii="Arial" w:cs="Arial" w:eastAsia="Arial" w:hAnsi="Arial"/>
          <w:b/>
          <w:bCs/>
          <w:color w:val="1A1A1A"/>
          <w:sz w:val="22"/>
          <w:szCs w:val="22"/>
        </w:rPr>
        <w:t xml:space="preserve">Macro parameter interpolation: </w:t>
      </w:r>
      <w:r>
        <w:rPr>
          <w:rFonts w:ascii="Arial" w:cs="Arial" w:eastAsia="Arial" w:hAnsi="Arial"/>
          <w:color w:val="1A1A1A"/>
          <w:sz w:val="22"/>
          <w:szCs w:val="22"/>
        </w:rPr>
        <w:t xml:space="preserve">never use '{{ table_name }}' bare in SQL. Use '{{ adapter.quote(table_name) }}' for identifiers.</w:t>
      </w:r>
    </w:p>
    <w:p>
      <w:pPr>
        <w:pStyle w:val="ListParagraph"/>
        <w:numPr>
          <w:ilvl w:val="0"/>
          <w:numId w:val="2"/>
        </w:numPr>
        <w:spacing w:after="40" w:before="40"/>
      </w:pPr>
      <w:r>
        <w:rPr>
          <w:rFonts w:ascii="Arial" w:cs="Arial" w:eastAsia="Arial" w:hAnsi="Arial"/>
          <w:b/>
          <w:bCs/>
          <w:color w:val="1A1A1A"/>
          <w:sz w:val="22"/>
          <w:szCs w:val="22"/>
        </w:rPr>
        <w:t xml:space="preserve">Jinja in WHERE clauses: </w:t>
      </w:r>
      <w:r>
        <w:rPr>
          <w:rFonts w:ascii="Arial" w:cs="Arial" w:eastAsia="Arial" w:hAnsi="Arial"/>
          <w:color w:val="1A1A1A"/>
          <w:sz w:val="22"/>
          <w:szCs w:val="22"/>
        </w:rPr>
        <w:t xml:space="preserve">avoid 'WHERE col = {{ ref(''my_model'') }}'. Use dbt's run_query() with explicit quoting or restructure to avoid dynamic identifiers in DML hooks entirely.</w:t>
      </w:r>
    </w:p>
    <w:p>
      <w:pPr>
        <w:pStyle w:val="ListParagraph"/>
        <w:numPr>
          <w:ilvl w:val="0"/>
          <w:numId w:val="2"/>
        </w:numPr>
        <w:spacing w:after="40" w:before="40"/>
      </w:pPr>
      <w:r>
        <w:rPr>
          <w:rFonts w:ascii="Arial" w:cs="Arial" w:eastAsia="Arial" w:hAnsi="Arial"/>
          <w:b/>
          <w:bCs/>
          <w:color w:val="1A1A1A"/>
          <w:sz w:val="22"/>
          <w:szCs w:val="22"/>
        </w:rPr>
        <w:t xml:space="preserve">Hooks with external input: </w:t>
      </w:r>
      <w:r>
        <w:rPr>
          <w:rFonts w:ascii="Arial" w:cs="Arial" w:eastAsia="Arial" w:hAnsi="Arial"/>
          <w:color w:val="1A1A1A"/>
          <w:sz w:val="22"/>
          <w:szCs w:val="22"/>
        </w:rPr>
        <w:t xml:space="preserve">pre_hook and post_hook SQL is evaluated at run time — any variable interpolated here that comes from session config or environment must be quoted.</w:t>
      </w:r>
    </w:p>
    <w:p>
      <w:pPr>
        <w:spacing w:after="0" w:before="100"/>
      </w:pPr>
    </w:p>
    <w:p>
      <w:pPr>
        <w:pStyle w:val="Heading2"/>
        <w:spacing w:after="120" w:before="240"/>
      </w:pPr>
      <w:r>
        <w:rPr>
          <w:rFonts w:ascii="Arial" w:cs="Arial" w:eastAsia="Arial" w:hAnsi="Arial"/>
          <w:b/>
          <w:bCs/>
          <w:color w:val="2E75B6"/>
          <w:sz w:val="26"/>
          <w:szCs w:val="26"/>
        </w:rPr>
        <w:t xml:space="preserve">9.4 Log Injection</w:t>
      </w:r>
    </w:p>
    <w:p>
      <w:pPr>
        <w:spacing w:after="80" w:before="60"/>
      </w:pPr>
      <w:r>
        <w:rPr>
          <w:rFonts w:ascii="Arial" w:cs="Arial" w:eastAsia="Arial" w:hAnsi="Arial"/>
          <w:color w:val="1A1A1A"/>
          <w:sz w:val="22"/>
          <w:szCs w:val="22"/>
        </w:rPr>
        <w:t xml:space="preserve">Error messages and log statements that interpolate business values (tax rates, batch IDs, status codes) without sanitisation can be exploited to inject false log entries or corrupt log pipelines. This typically appears in dbt macros.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What log_injection_in_error_messages means</w:t>
            </w:r>
          </w:p>
          <w:p>
            <w:pPr>
              <w:spacing w:after="40" w:before="0"/>
            </w:pPr>
            <w:r>
              <w:rPr>
                <w:rFonts w:ascii="Arial" w:cs="Arial" w:eastAsia="Arial" w:hAnsi="Arial"/>
                <w:color w:val="1A1A1A"/>
                <w:sz w:val="22"/>
                <w:szCs w:val="22"/>
              </w:rPr>
              <w:t xml:space="preserve">A log or error statement includes a raw variable value without stripping newlines/control characters. The tool generates sanitised logging, but in manually extended macros, apply this pattern: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 {{ log('Rate: ' ~ (tax_rate | string | replace("\n", " ")), info=true) }}</w:t>
            </w:r>
          </w:p>
          <w:p>
            <w:pPr>
              <w:spacing w:after="40" w:before="0"/>
            </w:pPr>
            <w:r>
              <w:rPr>
                <w:rFonts w:ascii="Arial" w:cs="Arial" w:eastAsia="Arial" w:hAnsi="Arial"/>
                <w:color w:val="1A1A1A"/>
                <w:sz w:val="22"/>
                <w:szCs w:val="22"/>
              </w:rPr>
              <w:t xml:space="preserve">  ✗ {{ log('Rate: ' ~ tax_rate, info=true) }}</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The risk: a crafted tax_rate value containing newlines can inject fake log lines that appear to show the pipeline ran successfully when it did not.</w:t>
            </w:r>
          </w:p>
        </w:tc>
      </w:tr>
    </w:tbl>
    <w:p>
      <w:pPr>
        <w:spacing w:after="0" w:before="100"/>
      </w:pPr>
    </w:p>
    <w:p>
      <w:pPr>
        <w:pStyle w:val="Heading2"/>
        <w:spacing w:after="120" w:before="240"/>
      </w:pPr>
      <w:r>
        <w:rPr>
          <w:rFonts w:ascii="Arial" w:cs="Arial" w:eastAsia="Arial" w:hAnsi="Arial"/>
          <w:b/>
          <w:bCs/>
          <w:color w:val="2E75B6"/>
          <w:sz w:val="26"/>
          <w:szCs w:val="26"/>
        </w:rPr>
        <w:t xml:space="preserve">9.5 Hardcoded Business Constants</w:t>
      </w:r>
    </w:p>
    <w:p>
      <w:pPr>
        <w:spacing w:after="80" w:before="60"/>
      </w:pPr>
      <w:r>
        <w:rPr>
          <w:rFonts w:ascii="Arial" w:cs="Arial" w:eastAsia="Arial" w:hAnsi="Arial"/>
          <w:color w:val="1A1A1A"/>
          <w:sz w:val="22"/>
          <w:szCs w:val="22"/>
        </w:rPr>
        <w:t xml:space="preserve">Business logic constants — tax rates, fee percentages, SLA thresholds, status codes — must never be hardcoded inline in SQL or macros. They belong in </w:t>
      </w:r>
      <w:r>
        <w:rPr>
          <w:rFonts w:ascii="Arial" w:cs="Arial" w:eastAsia="Arial" w:hAnsi="Arial"/>
          <w:b/>
          <w:bCs/>
          <w:color w:val="1A1A1A"/>
          <w:sz w:val="22"/>
          <w:szCs w:val="22"/>
        </w:rPr>
        <w:t xml:space="preserve">dbt vars</w:t>
      </w:r>
      <w:r>
        <w:rPr>
          <w:rFonts w:ascii="Arial" w:cs="Arial" w:eastAsia="Arial" w:hAnsi="Arial"/>
          <w:color w:val="1A1A1A"/>
          <w:sz w:val="22"/>
          <w:szCs w:val="22"/>
        </w:rPr>
        <w:t xml:space="preserve"> (dbt_project.yml), a </w:t>
      </w:r>
      <w:r>
        <w:rPr>
          <w:rFonts w:ascii="Arial" w:cs="Arial" w:eastAsia="Arial" w:hAnsi="Arial"/>
          <w:b/>
          <w:bCs/>
          <w:color w:val="1A1A1A"/>
          <w:sz w:val="22"/>
          <w:szCs w:val="22"/>
        </w:rPr>
        <w:t xml:space="preserve">seed/config model</w:t>
      </w:r>
      <w:r>
        <w:rPr>
          <w:rFonts w:ascii="Arial" w:cs="Arial" w:eastAsia="Arial" w:hAnsi="Arial"/>
          <w:color w:val="1A1A1A"/>
          <w:sz w:val="22"/>
          <w:szCs w:val="22"/>
        </w:rPr>
        <w:t xml:space="preserve">, or a </w:t>
      </w:r>
      <w:r>
        <w:rPr>
          <w:rFonts w:ascii="Arial" w:cs="Arial" w:eastAsia="Arial" w:hAnsi="Arial"/>
          <w:b/>
          <w:bCs/>
          <w:color w:val="1A1A1A"/>
          <w:sz w:val="22"/>
          <w:szCs w:val="22"/>
        </w:rPr>
        <w:t xml:space="preserve">config dict</w:t>
      </w:r>
      <w:r>
        <w:rPr>
          <w:rFonts w:ascii="Arial" w:cs="Arial" w:eastAsia="Arial" w:hAnsi="Arial"/>
          <w:color w:val="1A1A1A"/>
          <w:sz w:val="22"/>
          <w:szCs w:val="22"/>
        </w:rPr>
        <w:t xml:space="preserve"> at the top of a PySpark/Python 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Stack</w:t>
            </w:r>
          </w:p>
        </w:tc>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Pattern</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 var('tax_rate', 0.085) }} defined in dbt_project.yml vars block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change requires only a vars update, not a code deploy. Visible in audit trail.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 {'tax_rate': float(os.environ.get('TAX_RATE', '0.085'))}</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Rate changes managed through environment config, not code changes.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TAX_RATE = float(os.environ.get('TAX_RATE', '0.085'))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Same principle — externalised, override-able without a deployment.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Why This Matters Beyond Security</w:t>
            </w:r>
          </w:p>
          <w:p>
            <w:pPr>
              <w:spacing w:after="40" w:before="0"/>
            </w:pPr>
            <w:r>
              <w:rPr>
                <w:rFonts w:ascii="Arial" w:cs="Arial" w:eastAsia="Arial" w:hAnsi="Arial"/>
                <w:color w:val="1A1A1A"/>
                <w:sz w:val="22"/>
                <w:szCs w:val="22"/>
              </w:rPr>
              <w:t xml:space="preserve">A tax rate embedded as 0.085 in a SQL file means a regulatory rate change requires a code change, a review cycle, and a deployment. A config-driven rate means operations can update it without touching code. The tool flags hardcoded business constants at MEDIUM severity — they are not just a security issue, they are a maintenance and audit risk.</w:t>
            </w:r>
          </w:p>
        </w:tc>
      </w:tr>
    </w:tbl>
    <w:p>
      <w:pPr>
        <w:spacing w:after="0" w:before="100"/>
      </w:pPr>
    </w:p>
    <w:p>
      <w:pPr>
        <w:pStyle w:val="Heading2"/>
        <w:spacing w:after="120" w:before="240"/>
      </w:pPr>
      <w:r>
        <w:rPr>
          <w:rFonts w:ascii="Arial" w:cs="Arial" w:eastAsia="Arial" w:hAnsi="Arial"/>
          <w:b/>
          <w:bCs/>
          <w:color w:val="2E75B6"/>
          <w:sz w:val="26"/>
          <w:szCs w:val="26"/>
        </w:rPr>
        <w:t xml:space="preserve">9.6 How the Security Knowledge Base Evolves</w:t>
      </w:r>
    </w:p>
    <w:p>
      <w:pPr>
        <w:spacing w:after="80" w:before="60"/>
      </w:pPr>
      <w:r>
        <w:rPr>
          <w:rFonts w:ascii="Arial" w:cs="Arial" w:eastAsia="Arial" w:hAnsi="Arial"/>
          <w:color w:val="1A1A1A"/>
          <w:sz w:val="22"/>
          <w:szCs w:val="22"/>
        </w:rPr>
        <w:t xml:space="preserve">The tool has two layers of security guidance injected into every conversion prompt:</w:t>
      </w:r>
    </w:p>
    <w:p>
      <w:pPr>
        <w:pStyle w:val="ListParagraph"/>
        <w:numPr>
          <w:ilvl w:val="0"/>
          <w:numId w:val="2"/>
        </w:numPr>
        <w:spacing w:after="40" w:before="40"/>
      </w:pPr>
      <w:r>
        <w:rPr>
          <w:rFonts w:ascii="Arial" w:cs="Arial" w:eastAsia="Arial" w:hAnsi="Arial"/>
          <w:b/>
          <w:bCs/>
          <w:color w:val="1A1A1A"/>
          <w:sz w:val="22"/>
          <w:szCs w:val="22"/>
        </w:rPr>
        <w:t xml:space="preserve">Standing rules (security_rules.yaml): </w:t>
      </w:r>
      <w:r>
        <w:rPr>
          <w:rFonts w:ascii="Arial" w:cs="Arial" w:eastAsia="Arial" w:hAnsi="Arial"/>
          <w:color w:val="1A1A1A"/>
          <w:sz w:val="22"/>
          <w:szCs w:val="22"/>
        </w:rPr>
        <w:t xml:space="preserve">21 hand-curated rules covering credentials, injection, cryptography, transport security, and dbt-specific patterns. Every pattern that has appeared in a real finding has a standing rule.</w:t>
      </w:r>
    </w:p>
    <w:p>
      <w:pPr>
        <w:pStyle w:val="ListParagraph"/>
        <w:numPr>
          <w:ilvl w:val="0"/>
          <w:numId w:val="2"/>
        </w:numPr>
        <w:spacing w:after="40" w:before="40"/>
      </w:pPr>
      <w:r>
        <w:rPr>
          <w:rFonts w:ascii="Arial" w:cs="Arial" w:eastAsia="Arial" w:hAnsi="Arial"/>
          <w:b/>
          <w:bCs/>
          <w:color w:val="1A1A1A"/>
          <w:sz w:val="22"/>
          <w:szCs w:val="22"/>
        </w:rPr>
        <w:t xml:space="preserve">Auto-learned patterns (security_patterns.json): </w:t>
      </w:r>
      <w:r>
        <w:rPr>
          <w:rFonts w:ascii="Arial" w:cs="Arial" w:eastAsia="Arial" w:hAnsi="Arial"/>
          <w:color w:val="1A1A1A"/>
          <w:sz w:val="22"/>
          <w:szCs w:val="22"/>
        </w:rPr>
        <w:t xml:space="preserve">after every Gate 2 APPROVED or ACKNOWLEDGED decision, the tool records the findings. Patterns that recur across jobs accumulate weight and are injected with higher emphasis. The sidebar badge shows current counts.</w:t>
      </w:r>
    </w:p>
    <w:p>
      <w:pPr>
        <w:spacing w:after="80" w:before="60"/>
      </w:pPr>
      <w:r>
        <w:rPr>
          <w:rFonts w:ascii="Arial" w:cs="Arial" w:eastAsia="Arial" w:hAnsi="Arial"/>
          <w:color w:val="1A1A1A"/>
          <w:sz w:val="22"/>
          <w:szCs w:val="22"/>
        </w:rPr>
        <w:t xml:space="preserve">The practical effect: each conversion run makes the next one safer. Fix findings rather than acknowledging them where possible — this ensures the pattern is addressed rather than just recorded.</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10. Getting the Most Out of the Tool</w:t>
      </w:r>
    </w:p>
    <w:p>
      <w:pPr>
        <w:pBdr>
          <w:bottom w:val="single" w:color="D5E8F0" w:sz="4" w:space="1"/>
        </w:pBdr>
        <w:spacing w:after="200" w:before="200"/>
      </w:pPr>
    </w:p>
    <w:p>
      <w:pPr>
        <w:pStyle w:val="Heading2"/>
        <w:spacing w:after="120" w:before="240"/>
      </w:pPr>
      <w:r>
        <w:rPr>
          <w:rFonts w:ascii="Arial" w:cs="Arial" w:eastAsia="Arial" w:hAnsi="Arial"/>
          <w:b/>
          <w:bCs/>
          <w:color w:val="2E75B6"/>
          <w:sz w:val="26"/>
          <w:szCs w:val="26"/>
        </w:rPr>
        <w:t xml:space="preserve">Conversion Quality by Stack</w:t>
      </w:r>
    </w:p>
    <w:p>
      <w:pPr>
        <w:spacing w:after="80" w:before="60"/>
      </w:pPr>
      <w:r>
        <w:rPr>
          <w:rFonts w:ascii="Arial" w:cs="Arial" w:eastAsia="Arial" w:hAnsi="Arial"/>
          <w:color w:val="1A1A1A"/>
          <w:sz w:val="22"/>
          <w:szCs w:val="22"/>
        </w:rPr>
        <w:t xml:space="preserve">The conversion agent uses stack-specific system prompts that encode the most common Informatica-to-target patterns. For PySpark jobs, the agent automatically maps LOOKUP transformations to broadcast joins (for small tables), AGGREGATOR to groupBy().agg(), ROUTER to filtered DataFrame splits, and SCD Type 2 patterns to Window functions using partitionBy and row_number. All column references use F.col() and schemas are defined explicitly with StructType.</w:t>
      </w:r>
    </w:p>
    <w:p>
      <w:pPr>
        <w:spacing w:after="80" w:before="60"/>
      </w:pPr>
      <w:r>
        <w:rPr>
          <w:rFonts w:ascii="Arial" w:cs="Arial" w:eastAsia="Arial" w:hAnsi="Arial"/>
          <w:color w:val="1A1A1A"/>
          <w:sz w:val="22"/>
          <w:szCs w:val="22"/>
        </w:rPr>
        <w:t xml:space="preserve">For dbt conversions, the agent matches model depth to mapping complexity — one model for simple pass-through mappings, staging plus final for medium, and staging plus intermediate plus mart for complex SCD or multi-join mappings. Large target tables are generated as incremental models with a unique_key and is_incremental() filter. Surrogate keys use dbt_utils.generate_surrogate_key() and SCD Type 2 patterns generate dbt snapshots rather than manual merge logic.</w:t>
      </w:r>
    </w:p>
    <w:p>
      <w:pPr>
        <w:spacing w:after="80" w:before="60"/>
      </w:pPr>
      <w:r>
        <w:rPr>
          <w:rFonts w:ascii="Arial" w:cs="Arial" w:eastAsia="Arial" w:hAnsi="Arial"/>
          <w:color w:val="1A1A1A"/>
          <w:sz w:val="22"/>
          <w:szCs w:val="22"/>
        </w:rPr>
        <w:t xml:space="preserve">For Python/Pandas conversions, all database and file connections use context managers (with statements), large source files use chunked reading with pd.read_csv(chunksize=50_000), and pyarrow is used as the dtype backend where available for reduced memory footprint. LOOKUP transformations map to pd.merge(how='left') and SCD Type 2 uses sort_values plus drop_duplicates(keep='first').</w:t>
      </w:r>
    </w:p>
    <w:p>
      <w:pPr>
        <w:pStyle w:val="Heading2"/>
        <w:spacing w:after="120" w:before="240"/>
      </w:pPr>
      <w:r>
        <w:rPr>
          <w:rFonts w:ascii="Arial" w:cs="Arial" w:eastAsia="Arial" w:hAnsi="Arial"/>
          <w:b/>
          <w:bCs/>
          <w:color w:val="2E75B6"/>
          <w:sz w:val="26"/>
          <w:szCs w:val="26"/>
        </w:rPr>
        <w:t xml:space="preserve">Security Knowledge Base</w:t>
      </w:r>
    </w:p>
    <w:p>
      <w:pPr>
        <w:spacing w:after="80" w:before="60"/>
      </w:pPr>
      <w:r>
        <w:rPr>
          <w:rFonts w:ascii="Arial" w:cs="Arial" w:eastAsia="Arial" w:hAnsi="Arial"/>
          <w:color w:val="1A1A1A"/>
          <w:sz w:val="22"/>
          <w:szCs w:val="22"/>
        </w:rPr>
        <w:t xml:space="preserve">Every time a Gate 2 security review is completed (APPROVED or ACKNOWLEDGED), the tool learns from the findings and injects them into all future conversion prompts. See Section 9.6 for details. The sidebar badge shows current rule and pattern counts.</w:t>
      </w:r>
    </w:p>
    <w:p>
      <w:pPr>
        <w:spacing w:after="0" w:before="100"/>
      </w:pPr>
    </w:p>
    <w:p>
      <w:pPr>
        <w:spacing w:after="0" w:before="100"/>
      </w:pPr>
    </w:p>
    <w:p>
      <w:pPr>
        <w:pStyle w:val="Heading2"/>
        <w:spacing w:after="120" w:before="240"/>
      </w:pPr>
      <w:r>
        <w:rPr>
          <w:rFonts w:ascii="Arial" w:cs="Arial" w:eastAsia="Arial" w:hAnsi="Arial"/>
          <w:b/>
          <w:bCs/>
          <w:color w:val="2E75B6"/>
          <w:sz w:val="26"/>
          <w:szCs w:val="26"/>
        </w:rPr>
        <w:t xml:space="preserve">Job Artifact Export</w:t>
      </w:r>
    </w:p>
    <w:p>
      <w:pPr>
        <w:spacing w:after="80" w:before="60"/>
      </w:pPr>
      <w:r>
        <w:rPr>
          <w:rFonts w:ascii="Arial" w:cs="Arial" w:eastAsia="Arial" w:hAnsi="Arial"/>
          <w:color w:val="1A1A1A"/>
          <w:sz w:val="22"/>
          <w:szCs w:val="22"/>
        </w:rPr>
        <w:t xml:space="preserve">When a job reaches pipeline COMPLETE (Gate 3 approved), the tool automatically writes all job artifacts to OUTPUT_DIR/&lt;job_id&gt;/ on disk. The folder contains four subdirectories: input/ holds all uploaded source files (mapping XML, workflow XML, parameter file); output/ holds all generated code files preserving their folder structure, plus a tests/ subfolder for generated test files; docs/ holds the documentation report, S2T workbook, manifest, verification report, and security scan findings; logs/ holds the full pipeline log.</w:t>
      </w:r>
    </w:p>
    <w:p>
      <w:pPr>
        <w:spacing w:after="80" w:before="60"/>
      </w:pPr>
      <w:r>
        <w:rPr>
          <w:rFonts w:ascii="Arial" w:cs="Arial" w:eastAsia="Arial" w:hAnsi="Arial"/>
          <w:color w:val="1A1A1A"/>
          <w:sz w:val="22"/>
          <w:szCs w:val="22"/>
        </w:rPr>
        <w:t xml:space="preserve">Set OUTPUT_DIR in your .env file to control the export location. Leave it empty to use the default &lt;repo_root&gt;/jobs/ directory. Set it to an absolute path for Docker or CI deployments where the working directory may vary. Set it to disabled to suppress disk writes entirely — the ZIP download endpoint remains functional regardless.</w:t>
      </w:r>
    </w:p>
    <w:p>
      <w:pPr>
        <w:spacing w:after="80" w:before="60"/>
      </w:pPr>
      <w:r>
        <w:rPr>
          <w:rFonts w:ascii="Arial" w:cs="Arial" w:eastAsia="Arial" w:hAnsi="Arial"/>
          <w:color w:val="1A1A1A"/>
          <w:sz w:val="22"/>
          <w:szCs w:val="22"/>
        </w:rPr>
        <w:t xml:space="preserve">To get the output files without waiting for Gate 3, or when running the tool on a remote server, use the Download ZIP button in the output panel. It fetches GET /jobs/{job_id}/output.zip which bundles all generated code files into a single ZIP archive preserving folder structure. The ZIP contains output files only — for the full job folder including docs and logs, use the disk export.</w:t>
      </w:r>
    </w:p>
    <w:p>
      <w:pPr>
        <w:spacing w:after="0" w:before="100"/>
      </w:pPr>
    </w:p>
    <w:p>
      <w:pPr>
        <w:pStyle w:val="Heading2"/>
        <w:spacing w:after="120" w:before="240"/>
      </w:pPr>
      <w:r>
        <w:rPr>
          <w:rFonts w:ascii="Arial" w:cs="Arial" w:eastAsia="Arial" w:hAnsi="Arial"/>
          <w:b/>
          <w:bCs/>
          <w:color w:val="2E75B6"/>
          <w:sz w:val="26"/>
          <w:szCs w:val="26"/>
        </w:rPr>
        <w:t xml:space="preserve">Batch Conversion for Large Migration Projects</w:t>
      </w:r>
    </w:p>
    <w:p>
      <w:pPr>
        <w:spacing w:after="80" w:before="60"/>
      </w:pPr>
      <w:r>
        <w:rPr>
          <w:rFonts w:ascii="Arial" w:cs="Arial" w:eastAsia="Arial" w:hAnsi="Arial"/>
          <w:color w:val="1A1A1A"/>
          <w:sz w:val="22"/>
          <w:szCs w:val="22"/>
        </w:rPr>
        <w:t xml:space="preserve">For projects involving many mappings, use Batch ZIP upload. Organise one subfolder per mapping, include workflow and parameter files where available, and submit all at once. Up to 3 mappings run concurrently. Each mapping has independent human review gates, so your team can review in parallel.</w:t>
      </w:r>
    </w:p>
    <w:p>
      <w:pPr>
        <w:pStyle w:val="ListParagraph"/>
        <w:numPr>
          <w:ilvl w:val="0"/>
          <w:numId w:val="2"/>
        </w:numPr>
        <w:spacing w:after="40" w:before="40"/>
      </w:pPr>
      <w:r>
        <w:rPr>
          <w:rFonts w:ascii="Arial" w:cs="Arial" w:eastAsia="Arial" w:hAnsi="Arial"/>
          <w:color w:val="1A1A1A"/>
          <w:sz w:val="22"/>
          <w:szCs w:val="22"/>
        </w:rPr>
        <w:t xml:space="preserve">Start with a small batch (3–5 mappings) to calibrate the review workflow before running the full estate.</w:t>
      </w:r>
    </w:p>
    <w:p>
      <w:pPr>
        <w:pStyle w:val="ListParagraph"/>
        <w:numPr>
          <w:ilvl w:val="0"/>
          <w:numId w:val="2"/>
        </w:numPr>
        <w:spacing w:after="40" w:before="40"/>
      </w:pPr>
      <w:r>
        <w:rPr>
          <w:rFonts w:ascii="Arial" w:cs="Arial" w:eastAsia="Arial" w:hAnsi="Arial"/>
          <w:color w:val="1A1A1A"/>
          <w:sz w:val="22"/>
          <w:szCs w:val="22"/>
        </w:rPr>
        <w:t xml:space="preserve">Group mappings by target (all mappings feeding the same fact table) to make Gate 1 review faster — the S2T workbook and documentation will be easier to cross-check.</w:t>
      </w:r>
    </w:p>
    <w:p>
      <w:pPr>
        <w:pStyle w:val="ListParagraph"/>
        <w:numPr>
          <w:ilvl w:val="0"/>
          <w:numId w:val="2"/>
        </w:numPr>
        <w:spacing w:after="40" w:before="40"/>
      </w:pPr>
      <w:r>
        <w:rPr>
          <w:rFonts w:ascii="Arial" w:cs="Arial" w:eastAsia="Arial" w:hAnsi="Arial"/>
          <w:color w:val="1A1A1A"/>
          <w:sz w:val="22"/>
          <w:szCs w:val="22"/>
        </w:rPr>
        <w:t xml:space="preserve">Run simple mappings first. LOW-complexity mappings require minimal review and build confidence in the tool before tackling HIGH-complexity SCD2 mappings.</w:t>
      </w:r>
    </w:p>
    <w:p>
      <w:pPr>
        <w:spacing w:after="80" w:before="60"/>
      </w:pPr>
      <w:r>
        <w:rPr>
          <w:rFonts w:ascii="Arial" w:cs="Arial" w:eastAsia="Arial" w:hAnsi="Arial"/>
          <w:color w:val="1A1A1A"/>
          <w:sz w:val="22"/>
          <w:szCs w:val="22"/>
        </w:rPr>
        <w:t xml:space="preserve">If an individual batch job crashes unexpectedly (network error, out-of-memory, unhandled exception), the tool now catches the failure, marks that job FAILED in the database, and pushes a FAILED status event to the progress stream. The remaining jobs in the batch continue running unaffected. The batch status page will show PARTIAL if at least one job completed successfully alongside failures — review the Log Archive for each failed job to diagnose and re-submit individually.</w:t>
      </w:r>
    </w:p>
    <w:p>
      <w:pPr>
        <w:spacing w:after="0" w:before="100"/>
      </w:pPr>
    </w:p>
    <w:p>
      <w:pPr>
        <w:pStyle w:val="Heading2"/>
        <w:spacing w:after="120" w:before="240"/>
      </w:pPr>
      <w:r>
        <w:rPr>
          <w:rFonts w:ascii="Arial" w:cs="Arial" w:eastAsia="Arial" w:hAnsi="Arial"/>
          <w:b/>
          <w:bCs/>
          <w:color w:val="2E75B6"/>
          <w:sz w:val="26"/>
          <w:szCs w:val="26"/>
        </w:rPr>
        <w:t xml:space="preserve">Manifest Download</w:t>
      </w:r>
    </w:p>
    <w:p>
      <w:pPr>
        <w:spacing w:after="80" w:before="60"/>
      </w:pPr>
      <w:r>
        <w:rPr>
          <w:rFonts w:ascii="Arial" w:cs="Arial" w:eastAsia="Arial" w:hAnsi="Arial"/>
          <w:color w:val="1A1A1A"/>
          <w:sz w:val="22"/>
          <w:szCs w:val="22"/>
        </w:rPr>
        <w:t xml:space="preserve">After Step 1 (Parse) completes, a ↗ Manifest button appears in the job panel header. Clicking it downloads a structured XLSX workbook listing every transformation found in the mapping — its type, name, source ports, target ports, filter condition, join condition, and any SQL overrides. The manifest is generated on demand and does not consume storage in the job database.</w:t>
      </w:r>
    </w:p>
    <w:p>
      <w:pPr>
        <w:spacing w:after="80" w:before="60"/>
      </w:pPr>
      <w:r>
        <w:rPr>
          <w:rFonts w:ascii="Arial" w:cs="Arial" w:eastAsia="Arial" w:hAnsi="Arial"/>
          <w:color w:val="1A1A1A"/>
          <w:sz w:val="22"/>
          <w:szCs w:val="22"/>
        </w:rPr>
        <w:t xml:space="preserve">Use the manifest before Gate 1 to cross-check that the parser has captured all transformations you expect from the mapping. If a transformation is missing or its ports look wrong, it is faster to fix the source XML and re-upload than to discover the gap after conversion.</w:t>
      </w:r>
    </w:p>
    <w:p>
      <w:pPr>
        <w:spacing w:after="0" w:before="100"/>
      </w:pPr>
    </w:p>
    <w:p>
      <w:pPr>
        <w:pStyle w:val="Heading2"/>
        <w:spacing w:after="120" w:before="240"/>
      </w:pPr>
      <w:r>
        <w:rPr>
          <w:rFonts w:ascii="Arial" w:cs="Arial" w:eastAsia="Arial" w:hAnsi="Arial"/>
          <w:b/>
          <w:bCs/>
          <w:color w:val="2E75B6"/>
          <w:sz w:val="26"/>
          <w:szCs w:val="26"/>
        </w:rPr>
        <w:t xml:space="preserve">Manifest Reviewer Overrides</w:t>
      </w:r>
    </w:p>
    <w:p>
      <w:pPr>
        <w:spacing w:after="80" w:before="60"/>
      </w:pPr>
      <w:r>
        <w:rPr>
          <w:rFonts w:ascii="Arial" w:cs="Arial" w:eastAsia="Arial" w:hAnsi="Arial"/>
          <w:color w:val="1A1A1A"/>
          <w:sz w:val="22"/>
          <w:szCs w:val="22"/>
        </w:rPr>
        <w:t xml:space="preserve">When the manifest contains rows on the Review Required sheet (LOW-confidence or UNMAPPED fields), reviewers can resolve them before conversion begins — without restarting the job. Download the manifest, fill in the Reviewer Override column for each row that needs guidance, and re-upload the annotated file before submitting Gate 1 sign-off.</w:t>
      </w:r>
    </w:p>
    <w:p>
      <w:pPr>
        <w:spacing w:after="80" w:before="60"/>
      </w:pPr>
      <w:r>
        <w:rPr>
          <w:rFonts w:ascii="Arial" w:cs="Arial" w:eastAsia="Arial" w:hAnsi="Arial"/>
          <w:color w:val="1A1A1A"/>
          <w:sz w:val="22"/>
          <w:szCs w:val="22"/>
        </w:rPr>
        <w:t xml:space="preserve">The upload section appears in the Gate 1 sign-off card as an amber MANIFEST OVERRIDES panel. Use the file picker to select the annotated .xlsx, then click Upload Overrides. A confirmation shows the number of overrides stored (e.g. "3 overrides stored"). The panel accepts only .xlsx files and rejects empty uploads.</w:t>
      </w:r>
    </w:p>
    <w:p>
      <w:pPr>
        <w:spacing w:after="80" w:before="60"/>
      </w:pPr>
      <w:r>
        <w:rPr>
          <w:rFonts w:ascii="Arial" w:cs="Arial" w:eastAsia="Arial" w:hAnsi="Arial"/>
          <w:color w:val="1A1A1A"/>
          <w:sz w:val="22"/>
          <w:szCs w:val="22"/>
        </w:rPr>
        <w:t xml:space="preserve">Once uploaded, overrides are stored with the job and automatically injected into the conversion agent prompt as authoritative ground truth. The conversion agent treats each override as a confirmed mapping decision and will not second-guess it. If the uploaded file contains no Override column values, the status message directs the reviewer to check the Review Required sheet rather than accepting a silent empty upload.</w:t>
      </w:r>
    </w:p>
    <w:p>
      <w:pPr>
        <w:pStyle w:val="ListParagraph"/>
        <w:numPr>
          <w:ilvl w:val="0"/>
          <w:numId w:val="1"/>
        </w:numPr>
        <w:spacing w:after="40" w:before="40"/>
      </w:pPr>
      <w:r>
        <w:rPr>
          <w:rFonts w:ascii="Arial" w:cs="Arial" w:eastAsia="Arial" w:hAnsi="Arial"/>
          <w:b/>
          <w:bCs/>
          <w:color w:val="1A1A1A"/>
          <w:sz w:val="22"/>
          <w:szCs w:val="22"/>
        </w:rPr>
        <w:t xml:space="preserve">Download manifest</w:t>
      </w:r>
      <w:r>
        <w:rPr>
          <w:rFonts w:ascii="Arial" w:cs="Arial" w:eastAsia="Arial" w:hAnsi="Arial"/>
          <w:color w:val="1A1A1A"/>
          <w:sz w:val="22"/>
          <w:szCs w:val="22"/>
        </w:rPr>
        <w:t xml:space="preserve"> — click the ↗ Manifest button after Step 1 to get the workbook.</w:t>
      </w:r>
    </w:p>
    <w:p>
      <w:pPr>
        <w:pStyle w:val="ListParagraph"/>
        <w:numPr>
          <w:ilvl w:val="0"/>
          <w:numId w:val="1"/>
        </w:numPr>
        <w:spacing w:after="40" w:before="40"/>
      </w:pPr>
      <w:r>
        <w:rPr>
          <w:rFonts w:ascii="Arial" w:cs="Arial" w:eastAsia="Arial" w:hAnsi="Arial"/>
          <w:color w:val="1A1A1A"/>
          <w:sz w:val="22"/>
          <w:szCs w:val="22"/>
        </w:rPr>
        <w:t xml:space="preserve">Open the Review Required sheet — rows with LOW confidence or UNMAPPED status appear here.</w:t>
      </w:r>
    </w:p>
    <w:p>
      <w:pPr>
        <w:pStyle w:val="ListParagraph"/>
        <w:numPr>
          <w:ilvl w:val="0"/>
          <w:numId w:val="1"/>
        </w:numPr>
        <w:spacing w:after="40" w:before="40"/>
      </w:pPr>
      <w:r>
        <w:rPr>
          <w:rFonts w:ascii="Arial" w:cs="Arial" w:eastAsia="Arial" w:hAnsi="Arial"/>
          <w:color w:val="1A1A1A"/>
          <w:sz w:val="22"/>
          <w:szCs w:val="22"/>
        </w:rPr>
        <w:t xml:space="preserve">Fill in the Reviewer Override column for each row you want to resolve. Leave rows blank if you are comfortable with the tool’s default mapping.</w:t>
      </w:r>
    </w:p>
    <w:p>
      <w:pPr>
        <w:pStyle w:val="ListParagraph"/>
        <w:numPr>
          <w:ilvl w:val="0"/>
          <w:numId w:val="1"/>
        </w:numPr>
        <w:spacing w:after="40" w:before="40"/>
      </w:pPr>
      <w:r>
        <w:rPr>
          <w:rFonts w:ascii="Arial" w:cs="Arial" w:eastAsia="Arial" w:hAnsi="Arial"/>
          <w:color w:val="1A1A1A"/>
          <w:sz w:val="22"/>
          <w:szCs w:val="22"/>
        </w:rPr>
        <w:t xml:space="preserve">Upload in the Gate 1 card — use the MANIFEST OVERRIDES panel to re-upload the annotated file before submitting sign-off.</w:t>
      </w:r>
    </w:p>
    <w:p>
      <w:pPr>
        <w:pStyle w:val="ListParagraph"/>
        <w:numPr>
          <w:ilvl w:val="0"/>
          <w:numId w:val="1"/>
        </w:numPr>
        <w:spacing w:after="40" w:before="40"/>
      </w:pPr>
      <w:r>
        <w:rPr>
          <w:rFonts w:ascii="Arial" w:cs="Arial" w:eastAsia="Arial" w:hAnsi="Arial"/>
          <w:color w:val="1A1A1A"/>
          <w:sz w:val="22"/>
          <w:szCs w:val="22"/>
        </w:rPr>
        <w:t xml:space="preserve">Submit Gate 1 — the conversion agent automatically picks up the stored overrides when conversion begins.</w:t>
      </w:r>
    </w:p>
    <w:p>
      <w:pPr>
        <w:spacing w:after="0" w:before="100"/>
      </w:pPr>
    </w:p>
    <w:p>
      <w:pPr>
        <w:pStyle w:val="Heading2"/>
        <w:spacing w:after="120" w:before="240"/>
      </w:pPr>
      <w:r>
        <w:rPr>
          <w:rFonts w:ascii="Arial" w:cs="Arial" w:eastAsia="Arial" w:hAnsi="Arial"/>
          <w:b/>
          <w:bCs/>
          <w:color w:val="2E75B6"/>
          <w:sz w:val="26"/>
          <w:szCs w:val="26"/>
        </w:rPr>
        <w:t xml:space="preserve">After Gate 3 Approval</w:t>
      </w:r>
    </w:p>
    <w:p>
      <w:pPr>
        <w:pStyle w:val="ListParagraph"/>
        <w:numPr>
          <w:ilvl w:val="0"/>
          <w:numId w:val="2"/>
        </w:numPr>
        <w:spacing w:after="40" w:before="40"/>
      </w:pPr>
      <w:r>
        <w:rPr>
          <w:rFonts w:ascii="Arial" w:cs="Arial" w:eastAsia="Arial" w:hAnsi="Arial"/>
          <w:b/>
          <w:bCs/>
          <w:color w:val="1A1A1A"/>
          <w:sz w:val="22"/>
          <w:szCs w:val="22"/>
        </w:rPr>
        <w:t xml:space="preserve">Run the generated tests</w:t>
      </w:r>
      <w:r>
        <w:rPr>
          <w:rFonts w:ascii="Arial" w:cs="Arial" w:eastAsia="Arial" w:hAnsi="Arial"/>
          <w:color w:val="1A1A1A"/>
          <w:sz w:val="22"/>
          <w:szCs w:val="22"/>
        </w:rPr>
        <w:t xml:space="preserve"> before deploying. pytest for PySpark/Python targets; dbt test for dbt targets.</w:t>
      </w:r>
    </w:p>
    <w:p>
      <w:pPr>
        <w:pStyle w:val="ListParagraph"/>
        <w:numPr>
          <w:ilvl w:val="0"/>
          <w:numId w:val="2"/>
        </w:numPr>
        <w:spacing w:after="40" w:before="40"/>
      </w:pPr>
      <w:r>
        <w:rPr>
          <w:rFonts w:ascii="Arial" w:cs="Arial" w:eastAsia="Arial" w:hAnsi="Arial"/>
          <w:b/>
          <w:bCs/>
          <w:color w:val="1A1A1A"/>
          <w:sz w:val="22"/>
          <w:szCs w:val="22"/>
        </w:rPr>
        <w:t xml:space="preserve">Fill config placeholders</w:t>
      </w:r>
      <w:r>
        <w:rPr>
          <w:rFonts w:ascii="Arial" w:cs="Arial" w:eastAsia="Arial" w:hAnsi="Arial"/>
          <w:color w:val="1A1A1A"/>
          <w:sz w:val="22"/>
          <w:szCs w:val="22"/>
        </w:rPr>
        <w:t xml:space="preserve"> (&lt;fill_in&gt; values in config files) with environment-specific values before running.</w:t>
      </w:r>
    </w:p>
    <w:p>
      <w:pPr>
        <w:pStyle w:val="ListParagraph"/>
        <w:numPr>
          <w:ilvl w:val="0"/>
          <w:numId w:val="2"/>
        </w:numPr>
        <w:spacing w:after="40" w:before="40"/>
      </w:pPr>
      <w:r>
        <w:rPr>
          <w:rFonts w:ascii="Arial" w:cs="Arial" w:eastAsia="Arial" w:hAnsi="Arial"/>
          <w:b/>
          <w:bCs/>
          <w:color w:val="1A1A1A"/>
          <w:sz w:val="22"/>
          <w:szCs w:val="22"/>
        </w:rPr>
        <w:t xml:space="preserve">Review TODO markers</w:t>
      </w:r>
      <w:r>
        <w:rPr>
          <w:rFonts w:ascii="Arial" w:cs="Arial" w:eastAsia="Arial" w:hAnsi="Arial"/>
          <w:color w:val="1A1A1A"/>
          <w:sz w:val="22"/>
          <w:szCs w:val="22"/>
        </w:rPr>
        <w:t xml:space="preserve"> — especially TODO [AUTO-FLAG] comments, which mark auto-handled issues that need business confirmation.</w:t>
      </w:r>
    </w:p>
    <w:p>
      <w:pPr>
        <w:pStyle w:val="ListParagraph"/>
        <w:numPr>
          <w:ilvl w:val="0"/>
          <w:numId w:val="2"/>
        </w:numPr>
        <w:spacing w:after="40" w:before="40"/>
      </w:pPr>
      <w:r>
        <w:rPr>
          <w:rFonts w:ascii="Arial" w:cs="Arial" w:eastAsia="Arial" w:hAnsi="Arial"/>
          <w:b/>
          <w:bCs/>
          <w:color w:val="1A1A1A"/>
          <w:sz w:val="22"/>
          <w:szCs w:val="22"/>
        </w:rPr>
        <w:t xml:space="preserve">Add reconciliation row counts</w:t>
      </w:r>
      <w:r>
        <w:rPr>
          <w:rFonts w:ascii="Arial" w:cs="Arial" w:eastAsia="Arial" w:hAnsi="Arial"/>
          <w:color w:val="1A1A1A"/>
          <w:sz w:val="22"/>
          <w:szCs w:val="22"/>
        </w:rPr>
        <w:t xml:space="preserve"> in production pipelines around any HIGH-RISK flagged transformations.</w:t>
      </w:r>
    </w:p>
    <w:p>
      <w:pPr>
        <w:pStyle w:val="ListParagraph"/>
        <w:numPr>
          <w:ilvl w:val="0"/>
          <w:numId w:val="2"/>
        </w:numPr>
        <w:spacing w:after="40" w:before="40"/>
      </w:pPr>
      <w:r>
        <w:rPr>
          <w:rFonts w:ascii="Arial" w:cs="Arial" w:eastAsia="Arial" w:hAnsi="Arial"/>
          <w:b/>
          <w:bCs/>
          <w:color w:val="1A1A1A"/>
          <w:sz w:val="22"/>
          <w:szCs w:val="22"/>
        </w:rPr>
        <w:t xml:space="preserve">Archive the job log</w:t>
      </w:r>
      <w:r>
        <w:rPr>
          <w:rFonts w:ascii="Arial" w:cs="Arial" w:eastAsia="Arial" w:hAnsi="Arial"/>
          <w:color w:val="1A1A1A"/>
          <w:sz w:val="22"/>
          <w:szCs w:val="22"/>
        </w:rPr>
        <w:t xml:space="preserve"> — the log is available from the sidebar Log Archive after the job is completed. Keep it as the audit record of the conversion decision.</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11. Security Hardening — v2.6.1 Operator Notes</w:t>
      </w:r>
    </w:p>
    <w:p>
      <w:pPr>
        <w:pBdr>
          <w:bottom w:val="single" w:color="D5E8F0" w:sz="4" w:space="1"/>
        </w:pBdr>
        <w:spacing w:after="200" w:before="200"/>
      </w:pPr>
    </w:p>
    <w:p>
      <w:pPr>
        <w:pStyle w:val="Heading2"/>
        <w:spacing w:after="120" w:before="240"/>
      </w:pPr>
      <w:r>
        <w:rPr>
          <w:rFonts w:ascii="Arial" w:cs="Arial" w:eastAsia="Arial" w:hAnsi="Arial"/>
          <w:b/>
          <w:bCs/>
          <w:color w:val="1E3A5F"/>
          <w:sz w:val="26"/>
          <w:szCs w:val="26"/>
        </w:rPr>
        <w:t xml:space="preserve">11.1 Required .env Settings for Production</w:t>
      </w:r>
    </w:p>
    <w:p>
      <w:pPr>
        <w:spacing w:after="80" w:before="60"/>
      </w:pPr>
      <w:r>
        <w:rPr>
          <w:rFonts w:ascii="Arial" w:cs="Arial" w:eastAsia="Arial" w:hAnsi="Arial"/>
          <w:color w:val="1A1A1A"/>
          <w:sz w:val="22"/>
          <w:szCs w:val="22"/>
        </w:rPr>
        <w:t xml:space="preserve">v2.6.1 introduces a hard startup failure if SECRET_KEY is the default placeholder while APP_PASSWORD is set. Before deploying to any non-local environment, ensure your .env contains all three of the following:</w:t>
      </w:r>
    </w:p>
    <w:p>
      <w:pPr>
        <w:spacing w:after="60" w:before="120"/>
        <w:ind w:left="720"/>
      </w:pPr>
      <w:r>
        <w:rPr>
          <w:rFonts w:ascii="Courier New" w:cs="Courier New" w:eastAsia="Courier New" w:hAnsi="Courier New"/>
          <w:color w:val="1E3A5F"/>
          <w:sz w:val="20"/>
          <w:szCs w:val="20"/>
        </w:rPr>
        <w:t xml:space="preserve">APP_PASSWORD=your-strong-password</w:t>
      </w:r>
    </w:p>
    <w:p>
      <w:pPr>
        <w:spacing w:after="60" w:before="0"/>
        <w:ind w:left="720"/>
      </w:pPr>
      <w:r>
        <w:rPr>
          <w:rFonts w:ascii="Courier New" w:cs="Courier New" w:eastAsia="Courier New" w:hAnsi="Courier New"/>
          <w:color w:val="1E3A5F"/>
          <w:sz w:val="20"/>
          <w:szCs w:val="20"/>
        </w:rPr>
        <w:t xml:space="preserve">SECRET_KEY=&lt;output of: python -c "import secrets; print(secrets.token_hex(32))"&gt;</w:t>
      </w:r>
    </w:p>
    <w:p>
      <w:pPr>
        <w:spacing w:after="100" w:before="0"/>
        <w:ind w:left="720"/>
      </w:pPr>
      <w:r>
        <w:rPr>
          <w:rFonts w:ascii="Courier New" w:cs="Courier New" w:eastAsia="Courier New" w:hAnsi="Courier New"/>
          <w:color w:val="1E3A5F"/>
          <w:sz w:val="20"/>
          <w:szCs w:val="20"/>
        </w:rPr>
        <w:t xml:space="preserve">ANTHROPIC_API_KEY=sk-ant-...</w:t>
      </w:r>
    </w:p>
    <w:p>
      <w:pPr>
        <w:spacing w:after="80" w:before="60"/>
      </w:pPr>
      <w:r>
        <w:rPr>
          <w:rFonts w:ascii="Arial" w:cs="Arial" w:eastAsia="Arial" w:hAnsi="Arial"/>
          <w:color w:val="1A1A1A"/>
          <w:sz w:val="22"/>
          <w:szCs w:val="22"/>
        </w:rPr>
        <w:t xml:space="preserve">If SECRET_KEY is the default value and APP_PASSWORD is set, the server will refuse to start with a FATAL error. This is intentional — it prevents token forgery in any password-protected deployment. In dev mode (no APP_PASSWORD), the default key produces a warning only and the server starts normally.</w:t>
      </w:r>
    </w:p>
    <w:p>
      <w:pPr>
        <w:pStyle w:val="Heading2"/>
        <w:spacing w:after="120" w:before="240"/>
      </w:pPr>
      <w:r>
        <w:rPr>
          <w:rFonts w:ascii="Arial" w:cs="Arial" w:eastAsia="Arial" w:hAnsi="Arial"/>
          <w:b/>
          <w:bCs/>
          <w:color w:val="1E3A5F"/>
          <w:sz w:val="26"/>
          <w:szCs w:val="26"/>
        </w:rPr>
        <w:t xml:space="preserve">11.2 New Configuration Variables (v2.6.1)</w:t>
      </w:r>
    </w:p>
    <w:p>
      <w:pPr>
        <w:spacing w:after="80" w:before="60"/>
      </w:pPr>
      <w:r>
        <w:rPr>
          <w:rFonts w:ascii="Arial" w:cs="Arial" w:eastAsia="Arial" w:hAnsi="Arial"/>
          <w:color w:val="1A1A1A"/>
          <w:sz w:val="22"/>
          <w:szCs w:val="22"/>
        </w:rPr>
        <w:t xml:space="preserve">Three new optional .env variables are available in v2.6.1. All are optional with safe defaults:</w:t>
      </w:r>
    </w:p>
    <w:p>
      <w:pPr>
        <w:spacing w:after="60" w:before="120"/>
        <w:ind w:left="360"/>
      </w:pPr>
      <w:r>
        <w:rPr>
          <w:rFonts w:ascii="Courier New" w:cs="Courier New" w:eastAsia="Courier New" w:hAnsi="Courier New"/>
          <w:b/>
          <w:bCs/>
          <w:color w:val="1E3A5F"/>
          <w:sz w:val="20"/>
          <w:szCs w:val="20"/>
        </w:rPr>
        <w:t xml:space="preserve">BCRYPT_ROUNDS</w:t>
      </w:r>
      <w:r>
        <w:rPr>
          <w:rFonts w:ascii="Arial" w:cs="Arial" w:eastAsia="Arial" w:hAnsi="Arial"/>
          <w:color w:val="1A1A1A"/>
          <w:sz w:val="22"/>
          <w:szCs w:val="22"/>
        </w:rPr>
        <w:t xml:space="preserve"> (default: 12) — bcrypt work factor for password hashing. Increase to 13–14 on high-memory servers for stronger brute-force resistance.</w:t>
      </w:r>
    </w:p>
    <w:p>
      <w:pPr>
        <w:spacing w:after="60" w:before="0"/>
        <w:ind w:left="360"/>
      </w:pPr>
      <w:r>
        <w:rPr>
          <w:rFonts w:ascii="Courier New" w:cs="Courier New" w:eastAsia="Courier New" w:hAnsi="Courier New"/>
          <w:b/>
          <w:bCs/>
          <w:color w:val="1E3A5F"/>
          <w:sz w:val="20"/>
          <w:szCs w:val="20"/>
        </w:rPr>
        <w:t xml:space="preserve">AGENT_TIMEOUT_SECS</w:t>
      </w:r>
      <w:r>
        <w:rPr>
          <w:rFonts w:ascii="Arial" w:cs="Arial" w:eastAsia="Arial" w:hAnsi="Arial"/>
          <w:color w:val="1A1A1A"/>
          <w:sz w:val="22"/>
          <w:szCs w:val="22"/>
        </w:rPr>
        <w:t xml:space="preserve"> (default: 300) — hard per-call timeout in seconds applied to every Claude API call. Prevents pipeline hangs if the Anthropic API becomes unresponsive. Lower to 120 for faster failure in CI environments.</w:t>
      </w:r>
    </w:p>
    <w:p>
      <w:pPr>
        <w:spacing w:after="100" w:before="0"/>
        <w:ind w:left="360"/>
      </w:pPr>
      <w:r>
        <w:rPr>
          <w:rFonts w:ascii="Courier New" w:cs="Courier New" w:eastAsia="Courier New" w:hAnsi="Courier New"/>
          <w:b/>
          <w:bCs/>
          <w:color w:val="1E3A5F"/>
          <w:sz w:val="20"/>
          <w:szCs w:val="20"/>
        </w:rPr>
        <w:t xml:space="preserve">EXTENDED_OUTPUT_BETA</w:t>
      </w:r>
      <w:r>
        <w:rPr>
          <w:rFonts w:ascii="Arial" w:cs="Arial" w:eastAsia="Arial" w:hAnsi="Arial"/>
          <w:color w:val="1A1A1A"/>
          <w:sz w:val="22"/>
          <w:szCs w:val="22"/>
        </w:rPr>
        <w:t xml:space="preserve"> (default: output-128k-2025-02-19) — Anthropic beta header used by the documentation agent for 64k-token output. Update when Anthropic releases a newer beta string.</w:t>
      </w:r>
    </w:p>
    <w:p>
      <w:pPr>
        <w:pStyle w:val="Heading2"/>
        <w:spacing w:after="120" w:before="240"/>
      </w:pPr>
      <w:r>
        <w:rPr>
          <w:rFonts w:ascii="Arial" w:cs="Arial" w:eastAsia="Arial" w:hAnsi="Arial"/>
          <w:b/>
          <w:bCs/>
          <w:color w:val="1E3A5F"/>
          <w:sz w:val="26"/>
          <w:szCs w:val="26"/>
        </w:rPr>
        <w:t xml:space="preserve">11.3 Other Hardening Changes in v2.6.1</w:t>
      </w:r>
    </w:p>
    <w:p>
      <w:pPr>
        <w:spacing w:after="80" w:before="60"/>
      </w:pPr>
      <w:r>
        <w:rPr>
          <w:rFonts w:ascii="Arial" w:cs="Arial" w:eastAsia="Arial" w:hAnsi="Arial"/>
          <w:color w:val="1A1A1A"/>
          <w:sz w:val="22"/>
          <w:szCs w:val="22"/>
        </w:rPr>
        <w:t xml:space="preserve">These changes are transparent to normal use but are documented for operators and security reviewers. The rate limiter now holds an asyncio.Lock so concurrent requests cannot simultaneously bypass the per-IP threshold. Temporary files written for bandit scans are now created with 0o600 permissions (owner read/write only) rather than the previous world-readable 0o644. All 16 job ID path parameters are validated as UUIDs on every request — malformed IDs return HTTP 400 before any database access occurs. File uploads now validate the declared content-type against an allow-list (XML types for mapping uploads, ZIP types for batch uploads), returning HTTP 415 on mismatch. The startup API probe now distinguishes authentication errors from transient network failures: a bad API key logs a persistent ERROR rather than being silently swallowed. WAL journal mode is validated at startup and a warning is emitted if the database filesystem does not support it.</w:t>
      </w:r>
    </w:p>
    <w:p>
      <w:pPr>
        <w:pBdr>
          <w:bottom w:val="single" w:color="D5E8F0" w:sz="4" w:space="1"/>
        </w:pBdr>
        <w:spacing w:after="200" w:before="200"/>
      </w:pP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12. dbt Output — Running in an Enterprise (v2.7.0)</w:t>
      </w:r>
    </w:p>
    <w:p>
      <w:pPr>
        <w:pBdr>
          <w:bottom w:val="single" w:color="D5E8F0" w:sz="4" w:space="1"/>
        </w:pBdr>
        <w:spacing w:after="200" w:before="200"/>
      </w:pPr>
    </w:p>
    <w:p>
      <w:pPr>
        <w:spacing w:after="80" w:before="60"/>
      </w:pPr>
      <w:r>
        <w:rPr>
          <w:rFonts w:ascii="Arial" w:cs="Arial" w:eastAsia="Arial" w:hAnsi="Arial"/>
          <w:color w:val="1A1A1A"/>
          <w:sz w:val="22"/>
          <w:szCs w:val="22"/>
        </w:rPr>
        <w:t xml:space="preserve">From v2.7.0, every dbt job produces a fully execution-ready package. dbt only handles the transformation layer (T in ETL). In an enterprise the extraction and load steps, connection profiles, and orchestration must all exist before “dbt run” can be invoked. The tool now generates all of this automatically.</w:t>
      </w:r>
    </w:p>
    <w:p>
      <w:pPr>
        <w:pStyle w:val="Heading2"/>
        <w:spacing w:after="120" w:before="240"/>
      </w:pPr>
      <w:r>
        <w:rPr>
          <w:rFonts w:ascii="Arial" w:cs="Arial" w:eastAsia="Arial" w:hAnsi="Arial"/>
          <w:b/>
          <w:bCs/>
          <w:color w:val="1E3A5F"/>
          <w:sz w:val="26"/>
          <w:szCs w:val="26"/>
        </w:rPr>
        <w:t xml:space="preserve">12.1 What the Tool Generates for dbt Jobs</w:t>
      </w:r>
    </w:p>
    <w:p>
      <w:pPr>
        <w:spacing w:after="80" w:before="60"/>
      </w:pPr>
      <w:r>
        <w:rPr>
          <w:rFonts w:ascii="Arial" w:cs="Arial" w:eastAsia="Arial" w:hAnsi="Arial"/>
          <w:color w:val="1A1A1A"/>
          <w:sz w:val="22"/>
          <w:szCs w:val="22"/>
        </w:rPr>
        <w:t xml:space="preserve">Every dbt conversion now produces six artifact groups:</w:t>
      </w:r>
    </w:p>
    <w:p>
      <w:pPr>
        <w:spacing w:after="60" w:before="40"/>
        <w:ind w:left="360"/>
      </w:pPr>
      <w:r>
        <w:rPr>
          <w:rFonts w:ascii="Arial" w:cs="Arial" w:eastAsia="Arial" w:hAnsi="Arial"/>
          <w:b/>
          <w:bCs/>
          <w:color w:val="1A1A2E"/>
          <w:sz w:val="20"/>
          <w:szCs w:val="20"/>
        </w:rPr>
        <w:t xml:space="preserve">models/ (SQL)</w:t>
      </w:r>
      <w:r>
        <w:rPr>
          <w:rFonts w:ascii="Arial" w:cs="Arial" w:eastAsia="Arial" w:hAnsi="Arial"/>
          <w:color w:val="4B5563"/>
          <w:sz w:val="20"/>
          <w:szCs w:val="20"/>
        </w:rPr>
        <w:t xml:space="preserve"> — dbt SQL models, sources.yml, schema.yml, dbt_project.yml. The transformation layer (T).</w:t>
      </w:r>
    </w:p>
    <w:p>
      <w:pPr>
        <w:spacing w:after="60" w:before="40"/>
        <w:ind w:left="360"/>
      </w:pPr>
      <w:r>
        <w:rPr>
          <w:rFonts w:ascii="Arial" w:cs="Arial" w:eastAsia="Arial" w:hAnsi="Arial"/>
          <w:b/>
          <w:bCs/>
          <w:color w:val="1A1A2E"/>
          <w:sz w:val="20"/>
          <w:szCs w:val="20"/>
        </w:rPr>
        <w:t xml:space="preserve">extract/extract_{mapping_name}.py</w:t>
      </w:r>
      <w:r>
        <w:rPr>
          <w:rFonts w:ascii="Arial" w:cs="Arial" w:eastAsia="Arial" w:hAnsi="Arial"/>
          <w:color w:val="4B5563"/>
          <w:sz w:val="20"/>
          <w:szCs w:val="20"/>
        </w:rPr>
        <w:t xml:space="preserve"> — Python EL script. Reads source (JDBC or flat file) in chunks via SQLAlchemy/pandas. Writes to warehouse staging schema. Exits with code 1 on failure so the orchestration wrapper stops immediately.</w:t>
      </w:r>
    </w:p>
    <w:p>
      <w:pPr>
        <w:spacing w:after="60" w:before="40"/>
        <w:ind w:left="360"/>
      </w:pPr>
      <w:r>
        <w:rPr>
          <w:rFonts w:ascii="Arial" w:cs="Arial" w:eastAsia="Arial" w:hAnsi="Arial"/>
          <w:b/>
          <w:bCs/>
          <w:color w:val="1A1A2E"/>
          <w:sz w:val="20"/>
          <w:szCs w:val="20"/>
        </w:rPr>
        <w:t xml:space="preserve">run_pipeline.py</w:t>
      </w:r>
      <w:r>
        <w:rPr>
          <w:rFonts w:ascii="Arial" w:cs="Arial" w:eastAsia="Arial" w:hAnsi="Arial"/>
          <w:color w:val="4B5563"/>
          <w:sz w:val="20"/>
          <w:szCs w:val="20"/>
        </w:rPr>
        <w:t xml:space="preserve"> — Orchestration wrapper. Sequences EL → dbt run → dbt test via subprocess. Hard-stops on any step failure. Entry point: python run_pipeline.py.</w:t>
      </w:r>
    </w:p>
    <w:p>
      <w:pPr>
        <w:spacing w:after="60" w:before="40"/>
        <w:ind w:left="360"/>
      </w:pPr>
      <w:r>
        <w:rPr>
          <w:rFonts w:ascii="Arial" w:cs="Arial" w:eastAsia="Arial" w:hAnsi="Arial"/>
          <w:b/>
          <w:bCs/>
          <w:color w:val="1A1A2E"/>
          <w:sz w:val="20"/>
          <w:szCs w:val="20"/>
        </w:rPr>
        <w:t xml:space="preserve">profiles.yml</w:t>
      </w:r>
      <w:r>
        <w:rPr>
          <w:rFonts w:ascii="Arial" w:cs="Arial" w:eastAsia="Arial" w:hAnsi="Arial"/>
          <w:color w:val="4B5563"/>
          <w:sz w:val="20"/>
          <w:szCs w:val="20"/>
        </w:rPr>
        <w:t xml:space="preserve"> — dbt connection profile. Warehouse type is auto-detected from the session connection metadata (Postgres, Snowflake, Redshift, BigQuery, Databricks, SQL Server). All credentials use dbt’s env_var() — no hardcoded values.</w:t>
      </w:r>
    </w:p>
    <w:p>
      <w:pPr>
        <w:spacing w:after="60" w:before="40"/>
        <w:ind w:left="360"/>
      </w:pPr>
      <w:r>
        <w:rPr>
          <w:rFonts w:ascii="Arial" w:cs="Arial" w:eastAsia="Arial" w:hAnsi="Arial"/>
          <w:b/>
          <w:bCs/>
          <w:color w:val="1A1A2E"/>
          <w:sz w:val="20"/>
          <w:szCs w:val="20"/>
        </w:rPr>
        <w:t xml:space="preserve">requirements.txt</w:t>
      </w:r>
      <w:r>
        <w:rPr>
          <w:rFonts w:ascii="Arial" w:cs="Arial" w:eastAsia="Arial" w:hAnsi="Arial"/>
          <w:color w:val="4B5563"/>
          <w:sz w:val="20"/>
          <w:szCs w:val="20"/>
        </w:rPr>
        <w:t xml:space="preserve"> — Pinned dependencies: dbt-core, the correct warehouse adapter, pandas, sqlalchemy, python-dotenv. Install once with pip install -r requirements.txt.</w:t>
      </w:r>
    </w:p>
    <w:p>
      <w:pPr>
        <w:spacing w:after="60" w:before="40"/>
        <w:ind w:left="360"/>
      </w:pPr>
      <w:r>
        <w:rPr>
          <w:rFonts w:ascii="Arial" w:cs="Arial" w:eastAsia="Arial" w:hAnsi="Arial"/>
          <w:b/>
          <w:bCs/>
          <w:color w:val="1A1A2E"/>
          <w:sz w:val="20"/>
          <w:szCs w:val="20"/>
        </w:rPr>
        <w:t xml:space="preserve">config/ (YAML)</w:t>
      </w:r>
      <w:r>
        <w:rPr>
          <w:rFonts w:ascii="Arial" w:cs="Arial" w:eastAsia="Arial" w:hAnsi="Arial"/>
          <w:color w:val="4B5563"/>
          <w:sz w:val="20"/>
          <w:szCs w:val="20"/>
        </w:rPr>
        <w:t xml:space="preserve"> — connections.yaml and runtime_config.yaml (from Step 0 session parse, unchanged from v1.1).</w:t>
      </w:r>
    </w:p>
    <w:p>
      <w:pPr>
        <w:pStyle w:val="Heading2"/>
        <w:spacing w:after="120" w:before="240"/>
      </w:pPr>
      <w:r>
        <w:rPr>
          <w:rFonts w:ascii="Arial" w:cs="Arial" w:eastAsia="Arial" w:hAnsi="Arial"/>
          <w:b/>
          <w:bCs/>
          <w:color w:val="1E3A5F"/>
          <w:sz w:val="26"/>
          <w:szCs w:val="26"/>
        </w:rPr>
        <w:t xml:space="preserve">12.2 How to Run a dbt Conversion Output</w:t>
      </w:r>
    </w:p>
    <w:p>
      <w:pPr>
        <w:spacing w:after="80" w:before="60"/>
      </w:pPr>
      <w:r>
        <w:rPr>
          <w:rFonts w:ascii="Arial" w:cs="Arial" w:eastAsia="Arial" w:hAnsi="Arial"/>
          <w:color w:val="1A1A1A"/>
          <w:sz w:val="22"/>
          <w:szCs w:val="22"/>
        </w:rPr>
        <w:t xml:space="preserve">After downloading the conversion output, the operator follows four steps:</w:t>
      </w:r>
    </w:p>
    <w:p>
      <w:pPr>
        <w:spacing w:after="60" w:before="40"/>
        <w:ind w:left="360"/>
      </w:pPr>
      <w:r>
        <w:rPr>
          <w:rFonts w:ascii="Arial" w:cs="Arial" w:eastAsia="Arial" w:hAnsi="Arial"/>
          <w:b/>
          <w:bCs/>
          <w:color w:val="1A7A4A"/>
          <w:sz w:val="20"/>
          <w:szCs w:val="20"/>
        </w:rPr>
        <w:t xml:space="preserve">Step 1 — Install dependencies.</w:t>
      </w:r>
      <w:r>
        <w:rPr>
          <w:rFonts w:ascii="Arial" w:cs="Arial" w:eastAsia="Arial" w:hAnsi="Arial"/>
          <w:color w:val="4B5563"/>
          <w:sz w:val="20"/>
          <w:szCs w:val="20"/>
        </w:rPr>
        <w:t xml:space="preserve"> Run: pip install -r requirements.txt</w:t>
      </w:r>
    </w:p>
    <w:p>
      <w:pPr>
        <w:spacing w:after="60" w:before="40"/>
        <w:ind w:left="360"/>
      </w:pPr>
      <w:r>
        <w:rPr>
          <w:rFonts w:ascii="Arial" w:cs="Arial" w:eastAsia="Arial" w:hAnsi="Arial"/>
          <w:b/>
          <w:bCs/>
          <w:color w:val="1A7A4A"/>
          <w:sz w:val="20"/>
          <w:szCs w:val="20"/>
        </w:rPr>
        <w:t xml:space="preserve">Step 2 — Set environment variables.</w:t>
      </w:r>
      <w:r>
        <w:rPr>
          <w:rFonts w:ascii="Arial" w:cs="Arial" w:eastAsia="Arial" w:hAnsi="Arial"/>
          <w:color w:val="4B5563"/>
          <w:sz w:val="20"/>
          <w:szCs w:val="20"/>
        </w:rPr>
        <w:t xml:space="preserve"> Open profiles.yml and set each env_var() referenced (host, user, password, database, schema). Use a .env file and python-dotenv or export them directly in the shell. Never hardcode credentials in profiles.yml.</w:t>
      </w:r>
    </w:p>
    <w:p>
      <w:pPr>
        <w:spacing w:after="60" w:before="40"/>
        <w:ind w:left="360"/>
      </w:pPr>
      <w:r>
        <w:rPr>
          <w:rFonts w:ascii="Arial" w:cs="Arial" w:eastAsia="Arial" w:hAnsi="Arial"/>
          <w:b/>
          <w:bCs/>
          <w:color w:val="1A7A4A"/>
          <w:sz w:val="20"/>
          <w:szCs w:val="20"/>
        </w:rPr>
        <w:t xml:space="preserve">Step 3 — Review extract script.</w:t>
      </w:r>
      <w:r>
        <w:rPr>
          <w:rFonts w:ascii="Arial" w:cs="Arial" w:eastAsia="Arial" w:hAnsi="Arial"/>
          <w:color w:val="4B5563"/>
          <w:sz w:val="20"/>
          <w:szCs w:val="20"/>
        </w:rPr>
        <w:t xml:space="preserve"> Open extract/extract_{mapping_name}.py. Verify the CONFIG dict at the top matches your environment (source JDBC URL, staging schema name, file paths). The script was generated from the mapping documentation — spot-check the source query and target table name against the original Informatica session config.</w:t>
      </w:r>
    </w:p>
    <w:p>
      <w:pPr>
        <w:spacing w:after="60" w:before="40"/>
        <w:ind w:left="360"/>
      </w:pPr>
      <w:r>
        <w:rPr>
          <w:rFonts w:ascii="Arial" w:cs="Arial" w:eastAsia="Arial" w:hAnsi="Arial"/>
          <w:b/>
          <w:bCs/>
          <w:color w:val="1A7A4A"/>
          <w:sz w:val="20"/>
          <w:szCs w:val="20"/>
        </w:rPr>
        <w:t xml:space="preserve">Step 4 — Run the pipeline.</w:t>
      </w:r>
      <w:r>
        <w:rPr>
          <w:rFonts w:ascii="Arial" w:cs="Arial" w:eastAsia="Arial" w:hAnsi="Arial"/>
          <w:color w:val="4B5563"/>
          <w:sz w:val="20"/>
          <w:szCs w:val="20"/>
        </w:rPr>
        <w:t xml:space="preserve"> Run: python run_pipeline.py. The wrapper executes EL → dbt run → dbt test in sequence. Any step failure stops the pipeline and exits with a non-zero code — compatible with Airflow, ADF, and cron-based schedulers.</w:t>
      </w:r>
    </w:p>
    <w:p>
      <w:pPr>
        <w:pStyle w:val="Heading2"/>
        <w:spacing w:after="120" w:before="240"/>
      </w:pPr>
      <w:r>
        <w:rPr>
          <w:rFonts w:ascii="Arial" w:cs="Arial" w:eastAsia="Arial" w:hAnsi="Arial"/>
          <w:b/>
          <w:bCs/>
          <w:color w:val="1E3A5F"/>
          <w:sz w:val="26"/>
          <w:szCs w:val="26"/>
        </w:rPr>
        <w:t xml:space="preserve">12.3 Enterprise Scheduling</w:t>
      </w:r>
    </w:p>
    <w:p>
      <w:pPr>
        <w:spacing w:after="80" w:before="60"/>
      </w:pPr>
      <w:r>
        <w:rPr>
          <w:rFonts w:ascii="Arial" w:cs="Arial" w:eastAsia="Arial" w:hAnsi="Arial"/>
          <w:color w:val="1A1A1A"/>
          <w:sz w:val="22"/>
          <w:szCs w:val="22"/>
        </w:rPr>
        <w:t xml:space="preserve">run_pipeline.py is designed to be called from any enterprise scheduler. The exit-code contract (0 = success, non-zero = failure) is compatible with all major platforms: wrap it in an Airflow PythonOperator or BashOperator, an Azure Data Factory Custom Activity, a Prefect task, or a cron entry. For Airflow, set on_failure_callback to alert the appropriate team and do not set trigger_rule=“all_done” — let the default “all_success” rule propagate failures downstream.</w:t>
      </w:r>
    </w:p>
    <w:p>
      <w:pPr>
        <w:spacing w:after="200" w:before="200"/>
      </w:pPr>
    </w:p>
    <w:p>
      <w:pPr>
        <w:pStyle w:val="Heading1"/>
        <w:pageBreakBefore/>
        <w:spacing w:after="160" w:before="320"/>
      </w:pPr>
      <w:r>
        <w:rPr>
          <w:rFonts w:ascii="Arial" w:cs="Arial" w:eastAsia="Arial" w:hAnsi="Arial"/>
          <w:b/>
          <w:bCs/>
          <w:color w:val="1F4E79"/>
          <w:sz w:val="32"/>
          <w:szCs w:val="32"/>
        </w:rPr>
        <w:t xml:space="preserve">14. Testing and Validation Framework (v2.8.0)</w:t>
      </w:r>
    </w:p>
    <w:p>
      <w:pPr>
        <w:spacing w:after="80" w:before="60"/>
      </w:pPr>
      <w:r>
        <w:rPr>
          <w:rFonts w:ascii="Arial" w:cs="Arial" w:eastAsia="Arial" w:hAnsi="Arial"/>
          <w:color w:val="1A1A1A"/>
          <w:sz w:val="22"/>
          <w:szCs w:val="22"/>
        </w:rPr>
        <w:t xml:space="preserve">v2.8.0 introduces a comprehensive test suite that validates the tool’s offline-testable surface without requiring an Anthropic API key or a running server. If you are operating or extending the tool, this section explains what is tested, how to run each suite, and what the results mean.</w:t>
      </w:r>
    </w:p>
    <w:p>
      <w:pPr>
        <w:spacing w:after="160" w:before="240"/>
      </w:pPr>
      <w:r>
        <w:rPr>
          <w:rFonts w:ascii="Arial" w:cs="Arial" w:eastAsia="Arial" w:hAnsi="Arial"/>
          <w:b/>
          <w:bCs/>
          <w:color w:val="1F4E79"/>
          <w:sz w:val="26"/>
          <w:szCs w:val="26"/>
        </w:rPr>
        <w:t xml:space="preserve">14.1 Offline Unit Tests (test_core.py)</w:t>
      </w:r>
    </w:p>
    <w:p>
      <w:pPr>
        <w:spacing w:after="80" w:before="40"/>
      </w:pPr>
      <w:r>
        <w:rPr>
          <w:rFonts w:ascii="Arial" w:cs="Arial" w:eastAsia="Arial" w:hAnsi="Arial"/>
          <w:color w:val="1A1A1A"/>
          <w:sz w:val="22"/>
          <w:szCs w:val="22"/>
        </w:rPr>
        <w:t xml:space="preserve">76 tests across 9 classes. No API key required. Run from the app/ directory:</w:t>
      </w:r>
    </w:p>
    <w:p>
      <w:pPr>
        <w:spacing w:after="80" w:before="40"/>
        <w:ind w:left="720"/>
      </w:pPr>
      <w:r>
        <w:rPr>
          <w:rFonts w:ascii="Courier New" w:cs="Courier New" w:eastAsia="Courier New" w:hAnsi="Courier New"/>
          <w:color w:val="1A1A1A"/>
          <w:sz w:val="20"/>
          <w:szCs w:val="20"/>
          <w:shd w:val="clear" w:color="auto" w:fill="F3F4F6"/>
        </w:rPr>
        <w:t xml:space="preserve">python3 test_core.py -v</w:t>
      </w:r>
    </w:p>
    <w:p>
      <w:pPr>
        <w:spacing w:after="80" w:before="40"/>
      </w:pPr>
      <w:r>
        <w:rPr>
          <w:rFonts w:ascii="Arial" w:cs="Arial" w:eastAsia="Arial" w:hAnsi="Arial"/>
          <w:color w:val="1A1A1A"/>
          <w:sz w:val="22"/>
          <w:szCs w:val="22"/>
        </w:rPr>
        <w:t xml:space="preserve">Coverage areas: rate limiter (parse, sliding window, IP isolation), auth token sign/verify/expire/tamper, SQL safety helper, _validate_conversion_files (including the TargetStack enum comparison), dbt runtime artifact generation, flag handling section builder, smoke execution (py_compile, SQL structure, YAML), and the reconciliation agent (field coverage, expression coverage, stub detection).</w:t>
      </w:r>
    </w:p>
    <w:p>
      <w:pPr>
        <w:spacing w:after="160" w:before="240"/>
      </w:pPr>
      <w:r>
        <w:rPr>
          <w:rFonts w:ascii="Arial" w:cs="Arial" w:eastAsia="Arial" w:hAnsi="Arial"/>
          <w:b/>
          <w:bCs/>
          <w:color w:val="1F4E79"/>
          <w:sz w:val="26"/>
          <w:szCs w:val="26"/>
        </w:rPr>
        <w:t xml:space="preserve">14.2 API Route Tests (test_routes.py)</w:t>
      </w:r>
    </w:p>
    <w:p>
      <w:pPr>
        <w:spacing w:after="80" w:before="40"/>
      </w:pPr>
      <w:r>
        <w:rPr>
          <w:rFonts w:ascii="Arial" w:cs="Arial" w:eastAsia="Arial" w:hAnsi="Arial"/>
          <w:color w:val="1A1A1A"/>
          <w:sz w:val="22"/>
          <w:szCs w:val="22"/>
        </w:rPr>
        <w:t xml:space="preserve">24 tests using FastAPI’s in-process TestClient. No live server or API key required. Covers: health check (public endpoint, response shape), auth middleware (cookie required, tampered cookie rejected), job creation (valid XML accepted, non-XML rejected with 400, empty file rejected, PDF content-type rejected with 415), job ID validation (UUID format enforced, path traversal and SQL injection rejected), and rate limiter isolation. Run from app/:</w:t>
      </w:r>
    </w:p>
    <w:p>
      <w:pPr>
        <w:spacing w:after="80" w:before="40"/>
        <w:ind w:left="720"/>
      </w:pPr>
      <w:r>
        <w:rPr>
          <w:rFonts w:ascii="Courier New" w:cs="Courier New" w:eastAsia="Courier New" w:hAnsi="Courier New"/>
          <w:color w:val="1A1A1A"/>
          <w:sz w:val="20"/>
          <w:szCs w:val="20"/>
          <w:shd w:val="clear" w:color="auto" w:fill="F3F4F6"/>
        </w:rPr>
        <w:t xml:space="preserve">python3 test_routes.py -v</w:t>
      </w:r>
    </w:p>
    <w:p>
      <w:pPr>
        <w:spacing w:after="160" w:before="240"/>
      </w:pPr>
      <w:r>
        <w:rPr>
          <w:rFonts w:ascii="Arial" w:cs="Arial" w:eastAsia="Arial" w:hAnsi="Arial"/>
          <w:b/>
          <w:bCs/>
          <w:color w:val="1F4E79"/>
          <w:sz w:val="26"/>
          <w:szCs w:val="26"/>
        </w:rPr>
        <w:t xml:space="preserve">14.3 Steps 5–8 Integration Tests (test_steps58.py)</w:t>
      </w:r>
    </w:p>
    <w:p>
      <w:pPr>
        <w:spacing w:after="80" w:before="40"/>
      </w:pPr>
      <w:r>
        <w:rPr>
          <w:rFonts w:ascii="Arial" w:cs="Arial" w:eastAsia="Arial" w:hAnsi="Arial"/>
          <w:color w:val="1A1A1A"/>
          <w:sz w:val="22"/>
          <w:szCs w:val="22"/>
        </w:rPr>
        <w:t xml:space="preserve">Requires ANTHROPIC_API_KEY. Tests the four Claude-powered pipeline stages end-to-end using the sample_mapping.xml fixture. Use CLI flags to control scope:</w:t>
      </w:r>
    </w:p>
    <w:p>
      <w:pPr>
        <w:spacing w:after="40" w:before="40"/>
        <w:ind w:left="720"/>
      </w:pPr>
      <w:r>
        <w:rPr>
          <w:rFonts w:ascii="Courier New" w:cs="Courier New" w:eastAsia="Courier New" w:hAnsi="Courier New"/>
          <w:color w:val="1A1A1A"/>
          <w:sz w:val="20"/>
          <w:szCs w:val="20"/>
          <w:shd w:val="clear" w:color="auto" w:fill="F3F4F6"/>
        </w:rPr>
        <w:t xml:space="preserve">python3 test_steps58.py                   # full Steps 5–8</w:t>
      </w:r>
    </w:p>
    <w:p>
      <w:pPr>
        <w:spacing w:after="40" w:before="0"/>
        <w:ind w:left="720"/>
      </w:pPr>
      <w:r>
        <w:rPr>
          <w:rFonts w:ascii="Courier New" w:cs="Courier New" w:eastAsia="Courier New" w:hAnsi="Courier New"/>
          <w:color w:val="1A1A1A"/>
          <w:sz w:val="20"/>
          <w:szCs w:val="20"/>
          <w:shd w:val="clear" w:color="auto" w:fill="F3F4F6"/>
        </w:rPr>
        <w:t xml:space="preserve">python3 test_steps58.py --step5-only      # stack assignment only</w:t>
      </w:r>
    </w:p>
    <w:p>
      <w:pPr>
        <w:spacing w:after="40" w:before="0"/>
        <w:ind w:left="720"/>
      </w:pPr>
      <w:r>
        <w:rPr>
          <w:rFonts w:ascii="Courier New" w:cs="Courier New" w:eastAsia="Courier New" w:hAnsi="Courier New"/>
          <w:color w:val="1A1A1A"/>
          <w:sz w:val="20"/>
          <w:szCs w:val="20"/>
          <w:shd w:val="clear" w:color="auto" w:fill="F3F4F6"/>
        </w:rPr>
        <w:t xml:space="preserve">python3 test_steps58.py --through-step6 --stack dbt   # Steps 5–6 with dbt override</w:t>
      </w:r>
    </w:p>
    <w:p>
      <w:pPr>
        <w:spacing w:after="160" w:before="240"/>
      </w:pPr>
      <w:r>
        <w:rPr>
          <w:rFonts w:ascii="Arial" w:cs="Arial" w:eastAsia="Arial" w:hAnsi="Arial"/>
          <w:b/>
          <w:bCs/>
          <w:color w:val="1F4E79"/>
          <w:sz w:val="26"/>
          <w:szCs w:val="26"/>
        </w:rPr>
        <w:t xml:space="preserve">14.4 Smoke Execution (smoke_execute.py)</w:t>
      </w:r>
    </w:p>
    <w:p>
      <w:pPr>
        <w:spacing w:after="80" w:before="40"/>
      </w:pPr>
      <w:r>
        <w:rPr>
          <w:rFonts w:ascii="Arial" w:cs="Arial" w:eastAsia="Arial" w:hAnsi="Arial"/>
          <w:color w:val="1A1A1A"/>
          <w:sz w:val="22"/>
          <w:szCs w:val="22"/>
        </w:rPr>
        <w:t xml:space="preserve">Every generated file is validated without a live database using backend/smoke_execute.py. Three checks run automatically after each successful conversion.</w:t>
      </w:r>
    </w:p>
    <w:tbl>
      <w:tblPr>
        <w:tblW w:type="dxa" w:w="9360"/>
        <w:tblBorders>
          <w:top w:val="single" w:color="CCCCCC" w:sz="4"/>
          <w:left w:val="none" w:sz="0" w:space="0" w:color="auto"/>
          <w:bottom w:val="single" w:color="CCCCCC" w:sz="4"/>
          <w:right w:val="none" w:sz="0" w:space="0" w:color="auto"/>
          <w:insideH w:val="single" w:sz="4" w:space="0" w:color="E5E7EB"/>
          <w:insideV w:val="none" w:sz="0" w:space="0" w:color="auto"/>
        </w:tblBorders>
        <w:tblCellMar>
          <w:top w:type="dxa" w:w="80"/>
          <w:left w:type="dxa" w:w="120"/>
          <w:bottom w:type="dxa" w:w="80"/>
          <w:right w:type="dxa" w:w="120"/>
        </w:tblCellMar>
      </w:tblPr>
      <w:tblGrid>
        <w:gridCol w:w="2800"/>
        <w:gridCol w:w="6560"/>
      </w:tblGrid>
      <w:tr>
        <w:tc>
          <w:tcPr>
            <w:tcW w:type="dxa" w:w="2800"/>
            <w:shd w:val="clear" w:color="auto" w:fill="1F4E79"/>
          </w:tcPr>
          <w:p>
            <w:pPr>
              <w:spacing w:before="40" w:after="40"/>
            </w:pPr>
            <w:r>
              <w:rPr>
                <w:rFonts w:ascii="Arial" w:cs="Arial" w:eastAsia="Arial" w:hAnsi="Arial"/>
                <w:b/>
                <w:bCs/>
                <w:color w:val="FFFFFF"/>
                <w:sz w:val="20"/>
                <w:szCs w:val="20"/>
              </w:rPr>
              <w:t>Check</w:t>
            </w:r>
          </w:p>
        </w:tc>
        <w:tc>
          <w:tcPr>
            <w:tcW w:type="dxa" w:w="6560"/>
            <w:shd w:val="clear" w:color="auto" w:fill="1F4E79"/>
          </w:tcPr>
          <w:p>
            <w:pPr>
              <w:spacing w:before="40" w:after="40"/>
            </w:pPr>
            <w:r>
              <w:rPr>
                <w:rFonts w:ascii="Arial" w:cs="Arial" w:eastAsia="Arial" w:hAnsi="Arial"/>
                <w:b/>
                <w:bCs/>
                <w:color w:val="FFFFFF"/>
                <w:sz w:val="20"/>
                <w:szCs w:val="20"/>
              </w:rPr>
              <w:t>What it validates</w:t>
            </w:r>
          </w:p>
        </w:tc>
      </w:tr>
      <w:tr>
        <w:tc>
          <w:tcPr>
            <w:tcW w:type="dxa" w:w="2800"/>
            <w:shd w:val="clear" w:color="auto" w:fill="F0F9FF"/>
          </w:tcPr>
          <w:p>
            <w:pPr>
              <w:spacing w:before="40" w:after="40"/>
            </w:pPr>
            <w:r>
              <w:rPr>
                <w:rFonts w:ascii="Arial" w:cs="Arial" w:eastAsia="Arial" w:hAnsi="Arial"/>
                <w:b/>
                <w:bCs/>
                <w:sz w:val="20"/>
                <w:szCs w:val="20"/>
              </w:rPr>
              <w:t>py_compile</w:t>
            </w:r>
          </w:p>
        </w:tc>
        <w:tc>
          <w:tcPr>
            <w:tcW w:type="dxa" w:w="6560"/>
          </w:tcPr>
          <w:p>
            <w:pPr>
              <w:spacing w:before="40" w:after="40"/>
            </w:pPr>
            <w:r>
              <w:rPr>
                <w:rFonts w:ascii="Arial" w:cs="Arial" w:eastAsia="Arial" w:hAnsi="Arial"/>
                <w:sz w:val="20"/>
                <w:szCs w:val="20"/>
              </w:rPr>
              <w:t xml:space="preserve">Python and PySpark .py files compile to bytecode without errors. Catches encoding issues and f-string syntax in addition to what ast.parse() checks.</w:t>
            </w:r>
          </w:p>
        </w:tc>
      </w:tr>
      <w:tr>
        <w:tc>
          <w:tcPr>
            <w:tcW w:type="dxa" w:w="2800"/>
            <w:shd w:val="clear" w:color="auto" w:fill="F0F9FF"/>
          </w:tcPr>
          <w:p>
            <w:pPr>
              <w:spacing w:before="40" w:after="40"/>
            </w:pPr>
            <w:r>
              <w:rPr>
                <w:rFonts w:ascii="Arial" w:cs="Arial" w:eastAsia="Arial" w:hAnsi="Arial"/>
                <w:b/>
                <w:bCs/>
                <w:sz w:val="20"/>
                <w:szCs w:val="20"/>
              </w:rPr>
              <w:t>SQL structure</w:t>
            </w:r>
          </w:p>
        </w:tc>
        <w:tc>
          <w:tcPr>
            <w:tcW w:type="dxa" w:w="6560"/>
          </w:tcPr>
          <w:p>
            <w:pPr>
              <w:spacing w:before="40" w:after="40"/>
            </w:pPr>
            <w:r>
              <w:rPr>
                <w:rFonts w:ascii="Arial" w:cs="Arial" w:eastAsia="Arial" w:hAnsi="Arial"/>
                <w:sz w:val="20"/>
                <w:szCs w:val="20"/>
              </w:rPr>
              <w:t xml:space="preserve">dbt SQL models contain at least one SELECT or Jinja expression, and all {{ }} and {% %} delimiters are balanced. No database connection required.</w:t>
            </w:r>
          </w:p>
        </w:tc>
      </w:tr>
      <w:tr>
        <w:tc>
          <w:tcPr>
            <w:tcW w:type="dxa" w:w="2800"/>
            <w:shd w:val="clear" w:color="auto" w:fill="F0F9FF"/>
          </w:tcPr>
          <w:p>
            <w:pPr>
              <w:spacing w:before="40" w:after="40"/>
            </w:pPr>
            <w:r>
              <w:rPr>
                <w:rFonts w:ascii="Arial" w:cs="Arial" w:eastAsia="Arial" w:hAnsi="Arial"/>
                <w:b/>
                <w:bCs/>
                <w:sz w:val="20"/>
                <w:szCs w:val="20"/>
              </w:rPr>
              <w:t>YAML load</w:t>
            </w:r>
          </w:p>
        </w:tc>
        <w:tc>
          <w:tcPr>
            <w:tcW w:type="dxa" w:w="6560"/>
          </w:tcPr>
          <w:p>
            <w:pPr>
              <w:spacing w:before="40" w:after="40"/>
            </w:pPr>
            <w:r>
              <w:rPr>
                <w:rFonts w:ascii="Arial" w:cs="Arial" w:eastAsia="Arial" w:hAnsi="Arial"/>
                <w:sz w:val="20"/>
                <w:szCs w:val="20"/>
              </w:rPr>
              <w:t xml:space="preserve">All generated .yml files (schema definitions, config) are structurally valid YAML. profiles.yml is excluded since it is generated deterministically.</w:t>
            </w:r>
          </w:p>
        </w:tc>
      </w:tr>
    </w:tbl>
    <w:p>
      <w:pPr>
        <w:spacing w:after="160" w:before="240"/>
      </w:pPr>
      <w:r>
        <w:rPr>
          <w:rFonts w:ascii="Arial" w:cs="Arial" w:eastAsia="Arial" w:hAnsi="Arial"/>
          <w:b/>
          <w:bCs/>
          <w:color w:val="1F4E79"/>
          <w:sz w:val="26"/>
          <w:szCs w:val="26"/>
        </w:rPr>
        <w:t xml:space="preserve">14.5 Structural Reconciliation (reconciliation_agent.py)</w:t>
      </w:r>
    </w:p>
    <w:p>
      <w:pPr>
        <w:spacing w:after="80" w:before="40"/>
      </w:pPr>
      <w:r>
        <w:rPr>
          <w:rFonts w:ascii="Arial" w:cs="Arial" w:eastAsia="Arial" w:hAnsi="Arial"/>
          <w:color w:val="1A1A1A"/>
          <w:sz w:val="22"/>
          <w:szCs w:val="22"/>
        </w:rPr>
        <w:t xml:space="preserve">The reconciliation agent performs a structural check of the generated code against the mapping specification, without requiring a live database. It checks four things: (1) every target field named in the S2T mapping appears somewhere in the generated code; (2) every source table or source qualifier is referenced; (3) business-rule expressions documented in the mapping appear verbatim in the generated code; (4) no generated file is predominantly TODO/FIXME stubs (more than 60% stub lines).</w:t>
      </w:r>
    </w:p>
    <w:p>
      <w:pPr>
        <w:spacing w:after="80" w:before="40"/>
      </w:pPr>
      <w:r>
        <w:rPr>
          <w:rFonts w:ascii="Arial" w:cs="Arial" w:eastAsia="Arial" w:hAnsi="Arial"/>
          <w:color w:val="1A1A1A"/>
          <w:sz w:val="22"/>
          <w:szCs w:val="22"/>
        </w:rPr>
        <w:t xml:space="preserve">The report returns a match_rate (percentage of checks that passed) and a final_status of RECONCILED (100%, no stubs), PARTIAL (80–99%, review mismatched fields), or PENDING_EXECUTION (below 80%, re-review the conversion before running). Row-count reconciliation (comparing actual record counts between Informatica and the converted output) requires a live execution environment and is not performed automatically.</w:t>
      </w:r>
    </w:p>
    <w:p>
      <w:pPr>
        <w:spacing w:after="0" w:before="120"/>
      </w:pPr>
    </w:p>
    <w:p>
      <w:pPr>
        <w:pStyle w:val="Heading1"/>
        <w:spacing w:after="160" w:before="320"/>
      </w:pPr>
      <w:r>
        <w:rPr>
          <w:rFonts w:ascii="Arial" w:cs="Arial" w:eastAsia="Arial" w:hAnsi="Arial"/>
          <w:b/>
          <w:bCs/>
          <w:color w:val="1F4E79"/>
          <w:sz w:val="32"/>
          <w:szCs w:val="32"/>
        </w:rPr>
        <w:t xml:space="preserve">13. Quick Reference — Flag Severity Guide</w:t>
      </w:r>
    </w:p>
    <w:p>
      <w:pPr>
        <w:spacing w:after="80" w:before="60"/>
      </w:pPr>
      <w:r>
        <w:rPr>
          <w:rFonts w:ascii="Arial" w:cs="Arial" w:eastAsia="Arial" w:hAnsi="Arial"/>
          <w:color w:val="1A1A1A"/>
          <w:sz w:val="22"/>
          <w:szCs w:val="22"/>
        </w:rPr>
        <w:t xml:space="preserve">Every flag in the Verification Report has a severity. Use this table to quickly decide how to respond.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Conversion?</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CRITICAL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Yes — pipeline blocked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Fix in the source Informatica mapping and re-upload. UNSUPPORTED_TRANSFORMATION and PARSE_FAILED are the two CRITICAL flag types.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7F6000"/>
                <w:sz w:val="22"/>
                <w:szCs w:val="22"/>
              </w:rPr>
              <w:t xml:space="preserve">HIGH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375623"/>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Tool auto-handles in generated code with TODO markers. APPROVE at Gate 1. Review TODO comments in generated code at Gate 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Non-blocking. Review at Gate 1. Generally safe to proceed. Investigate if you see unexpected data behaviour after conversion.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Informational. Proceed. Confirm with the mapping owner if the flagged element (dead logic, orphaned port) should be removed from the mapping.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INFO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Purely informational. No action required.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bottom w:val="none"/>
              <w:right w:val="none"/>
            </w:tcBorders>
            <w:shd w:fill="D5E8F0" w:val="clear"/>
            <w:tcMar>
              <w:top w:type="dxa" w:w="160"/>
              <w:left w:type="dxa" w:w="200"/>
              <w:bottom w:type="dxa" w:w="160"/>
              <w:right w:type="dxa" w:w="200"/>
            </w:tcMar>
          </w:tcPr>
          <w:p>
            <w:pPr>
              <w:spacing w:after="60" w:before="0"/>
            </w:pPr>
            <w:r>
              <w:rPr>
                <w:rFonts w:ascii="Arial" w:cs="Arial" w:eastAsia="Arial" w:hAnsi="Arial"/>
                <w:b/>
                <w:bCs/>
                <w:color w:val="1F4E79"/>
                <w:sz w:val="22"/>
                <w:szCs w:val="22"/>
              </w:rPr>
              <w:t xml:space="preserve">Questions or Issues?</w:t>
            </w:r>
          </w:p>
          <w:p>
            <w:pPr>
              <w:spacing w:after="0" w:before="0"/>
            </w:pPr>
            <w:r>
              <w:rPr>
                <w:rFonts w:ascii="Arial" w:cs="Arial" w:eastAsia="Arial" w:hAnsi="Arial"/>
                <w:color w:val="1A1A1A"/>
                <w:sz w:val="22"/>
                <w:szCs w:val="22"/>
              </w:rPr>
              <w:t xml:space="preserve">File an issue at </w:t>
            </w:r>
            <w:hyperlink w:history="1" r:id="rIdrmvtwaiuvnmqvyesucles">
              <w:r>
                <w:rPr>
                  <w:rFonts w:ascii="Arial" w:cs="Arial" w:eastAsia="Arial" w:hAnsi="Arial"/>
                  <w:color w:val="2E75B6"/>
                  <w:sz w:val="22"/>
                  <w:szCs w:val="22"/>
                  <w:u w:val="single"/>
                </w:rPr>
                <w:t xml:space="preserve">github.com/ad25343/InformaticaConversion/issues</w:t>
              </w:r>
            </w:hyperlink>
            <w:r>
              <w:rPr>
                <w:rFonts w:ascii="Arial" w:cs="Arial" w:eastAsia="Arial" w:hAnsi="Arial"/>
                <w:color w:val="1A1A1A"/>
                <w:sz w:val="22"/>
                <w:szCs w:val="22"/>
              </w:rPr>
              <w:t xml:space="preserve">  •  Informatica Conversion Tool v2.8.0  •  CC BY-NC 4.0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spacing w:after="0" w:before="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CC BY-NC 4.0  •  github.com/ad25343/InformaticaConversion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spacing w:after="0" w:before="0"/>
    </w:pPr>
    <w:r>
      <w:rPr>
        <w:rFonts w:ascii="Arial" w:cs="Arial" w:eastAsia="Arial" w:hAnsi="Arial"/>
        <w:color w:val="2E75B6"/>
        <w:sz w:val="18"/>
        <w:szCs w:val="18"/>
      </w:rPr>
      <w:t xml:space="preserve">Informatica Conversion Tool  —  Pre-Conversion Best Practices Guide</w:t>
    </w:r>
    <w:r>
      <w:rPr>
        <w:rFonts w:ascii="Arial" w:cs="Arial" w:eastAsia="Arial" w:hAnsi="Arial"/>
        <w:color w:val="AAAAAA"/>
        <w:sz w:val="18"/>
        <w:szCs w:val="18"/>
      </w:rPr>
      <w:t xml:space="preserve">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vtwaiuvnmqvyesucles" Type="http://schemas.openxmlformats.org/officeDocument/2006/relationships/hyperlink" Target="https://github.com/ad25343/InformaticaConversion/issu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2026-03-02T00:40:30.234Z</dcterms:created>
  <dcterms:modified xsi:type="dcterms:W3CDTF">2026-03-02T00:40:30.241Z</dcterms:modified>
</cp:coreProperties>
</file>

<file path=docProps/custom.xml><?xml version="1.0" encoding="utf-8"?>
<Properties xmlns="http://schemas.openxmlformats.org/officeDocument/2006/custom-properties" xmlns:vt="http://schemas.openxmlformats.org/officeDocument/2006/docPropsVTypes"/>
</file>