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Calibri" w:cs="Calibri" w:eastAsia="Calibri" w:hAnsi="Calibri"/>
          <w:b/>
          <w:bCs/>
          <w:color w:val="C9962E"/>
          <w:spacing w:val="60"/>
          <w:sz w:val="22"/>
          <w:szCs w:val="22"/>
        </w:rPr>
        <w:t xml:space="preserve">PLAYBOOK · v2</w:t>
      </w:r>
    </w:p>
    <w:p>
      <w:pPr>
        <w:spacing w:after="0" w:before="80"/>
      </w:pPr>
      <w:r>
        <w:rPr>
          <w:rFonts w:ascii="Calibri" w:cs="Calibri" w:eastAsia="Calibri" w:hAnsi="Calibri"/>
          <w:b/>
          <w:bCs/>
          <w:color w:val="0F2A4A"/>
          <w:sz w:val="96"/>
          <w:szCs w:val="96"/>
        </w:rPr>
        <w:t xml:space="preserve">Story Excellence</w:t>
      </w:r>
    </w:p>
    <w:p>
      <w:pPr>
        <w:spacing w:after="200" w:before="0"/>
      </w:pPr>
      <w:r>
        <w:rPr>
          <w:rFonts w:ascii="Calibri" w:cs="Calibri" w:eastAsia="Calibri" w:hAnsi="Calibri"/>
          <w:b/>
          <w:bCs/>
          <w:color w:val="1B5E7A"/>
          <w:sz w:val="56"/>
          <w:szCs w:val="56"/>
        </w:rPr>
        <w:t xml:space="preserve">Epic → Feature → Story</w:t>
      </w:r>
    </w:p>
    <w:p>
      <w:pPr>
        <w:spacing w:after="320"/>
      </w:pPr>
      <w:r>
        <w:rPr>
          <w:rFonts w:ascii="Calibri" w:cs="Calibri" w:eastAsia="Calibri" w:hAnsi="Calibri"/>
          <w:color w:val="1A1A1A"/>
          <w:sz w:val="28"/>
          <w:szCs w:val="28"/>
        </w:rPr>
        <w:t xml:space="preserve">A shared language for Single Family, Multifamily, and Capital Markets — across the full lending lifecycle.</w:t>
      </w:r>
    </w:p>
    <w:p>
      <w:pPr>
        <w:spacing w:after="80"/>
      </w:pPr>
      <w:r>
        <w:rPr>
          <w:rFonts w:ascii="Calibri" w:cs="Calibri" w:eastAsia="Calibri" w:hAnsi="Calibri"/>
          <w:color w:val="6B7280"/>
          <w:sz w:val="22"/>
          <w:szCs w:val="22"/>
        </w:rPr>
        <w:t xml:space="preserve">Audience: Product, Engineering, Analytics, QA</w:t>
      </w:r>
    </w:p>
    <w:p>
      <w:pPr>
        <w:spacing w:after="80"/>
      </w:pPr>
      <w:r>
        <w:rPr>
          <w:rFonts w:ascii="Calibri" w:cs="Calibri" w:eastAsia="Calibri" w:hAnsi="Calibri"/>
          <w:color w:val="6B7280"/>
          <w:sz w:val="22"/>
          <w:szCs w:val="22"/>
        </w:rPr>
        <w:t xml:space="preserve">Living document — refined every quarter</w:t>
      </w:r>
    </w:p>
    <w:p>
      <w:r>
        <w:br w:type="page"/>
      </w:r>
    </w:p>
    <w:p>
      <w:pPr>
        <w:pStyle w:val="Heading1"/>
        <w:spacing w:after="160" w:before="320"/>
      </w:pPr>
      <w:r>
        <w:rPr>
          <w:rFonts w:ascii="Calibri" w:cs="Calibri" w:eastAsia="Calibri" w:hAnsi="Calibri"/>
          <w:b/>
          <w:bCs/>
          <w:color w:val="0F2A4A"/>
          <w:sz w:val="36"/>
          <w:szCs w:val="36"/>
        </w:rPr>
        <w:t xml:space="preserve">1. Our North Star</w:t>
      </w:r>
    </w:p>
    <w:p>
      <w:pPr>
        <w:spacing w:after="100" w:before="0"/>
        <w:jc w:val="left"/>
      </w:pPr>
      <w:r>
        <w:rPr>
          <w:rFonts w:ascii="Calibri" w:cs="Calibri" w:eastAsia="Calibri" w:hAnsi="Calibri"/>
        </w:rPr>
        <w:t xml:space="preserve">One playbook the whole portfolio can rally around — so that any teammate, on any squad, in any line of business, can pick up a backlog item and immediately see what good looks like.</w:t>
      </w:r>
    </w:p>
    <w:p>
      <w:pPr>
        <w:pStyle w:val="Heading3"/>
        <w:spacing w:after="80" w:before="180"/>
      </w:pPr>
      <w:r>
        <w:rPr>
          <w:rFonts w:ascii="Calibri" w:cs="Calibri" w:eastAsia="Calibri" w:hAnsi="Calibri"/>
          <w:b/>
          <w:bCs/>
          <w:color w:val="0F2A4A"/>
          <w:sz w:val="24"/>
          <w:szCs w:val="24"/>
        </w:rPr>
        <w:t xml:space="preserve">Three pillars</w:t>
      </w:r>
    </w:p>
    <w:p>
      <w:pPr>
        <w:pStyle w:val="ListParagraph"/>
        <w:numPr>
          <w:ilvl w:val="0"/>
          <w:numId w:val="2"/>
        </w:numPr>
        <w:spacing w:after="60"/>
      </w:pPr>
      <w:r>
        <w:rPr>
          <w:rFonts w:ascii="Calibri" w:cs="Calibri" w:eastAsia="Calibri" w:hAnsi="Calibri"/>
          <w:sz w:val="22"/>
          <w:szCs w:val="22"/>
        </w:rPr>
        <w:t xml:space="preserve">Clarity at every level. Epic, Feature, and Story each have their own template, Definition of Ready, and Definition of Done. No more guessing what is expected.</w:t>
      </w:r>
    </w:p>
    <w:p>
      <w:pPr>
        <w:pStyle w:val="ListParagraph"/>
        <w:numPr>
          <w:ilvl w:val="0"/>
          <w:numId w:val="2"/>
        </w:numPr>
        <w:spacing w:after="60"/>
      </w:pPr>
      <w:r>
        <w:rPr>
          <w:rFonts w:ascii="Calibri" w:cs="Calibri" w:eastAsia="Calibri" w:hAnsi="Calibri"/>
          <w:sz w:val="22"/>
          <w:szCs w:val="22"/>
        </w:rPr>
        <w:t xml:space="preserve">Lifecycle-wide. The same playbook from loan acquisition through underwriting, servicing, securitization, and investor reporting — end to end.</w:t>
      </w:r>
    </w:p>
    <w:p>
      <w:pPr>
        <w:pStyle w:val="ListParagraph"/>
        <w:numPr>
          <w:ilvl w:val="0"/>
          <w:numId w:val="2"/>
        </w:numPr>
        <w:spacing w:after="60"/>
      </w:pPr>
      <w:r>
        <w:rPr>
          <w:rFonts w:ascii="Calibri" w:cs="Calibri" w:eastAsia="Calibri" w:hAnsi="Calibri"/>
          <w:sz w:val="22"/>
          <w:szCs w:val="22"/>
        </w:rPr>
        <w:t xml:space="preserve">Cross-LoB. Single Family, Multifamily, and Capital Markets all use the same shape. Only the business rules and lifecycle stages differ.</w:t>
      </w:r>
    </w:p>
    <w:p>
      <w:pPr>
        <w:spacing w:after="100" w:before="0"/>
        <w:jc w:val="left"/>
      </w:pPr>
      <w:r>
        <w:rPr>
          <w:rFonts w:ascii="Calibri" w:cs="Calibri" w:eastAsia="Calibri" w:hAnsi="Calibri"/>
          <w:color w:val="1B5E7A"/>
        </w:rPr>
        <w:t xml:space="preserve">This isn't about more rules. It's about removing friction so the team can move faster, together.</w:t>
      </w:r>
    </w:p>
    <w:p>
      <w:pPr>
        <w:pStyle w:val="Heading1"/>
        <w:spacing w:after="160" w:before="320"/>
      </w:pPr>
      <w:r>
        <w:rPr>
          <w:rFonts w:ascii="Calibri" w:cs="Calibri" w:eastAsia="Calibri" w:hAnsi="Calibri"/>
          <w:b/>
          <w:bCs/>
          <w:color w:val="0F2A4A"/>
          <w:sz w:val="36"/>
          <w:szCs w:val="36"/>
        </w:rPr>
        <w:t xml:space="preserve">2. The Three Levels at a Glance</w:t>
      </w:r>
    </w:p>
    <w:p>
      <w:pPr>
        <w:spacing w:after="100" w:before="0"/>
        <w:jc w:val="left"/>
      </w:pPr>
      <w:r>
        <w:rPr>
          <w:rFonts w:ascii="Calibri" w:cs="Calibri" w:eastAsia="Calibri" w:hAnsi="Calibri"/>
        </w:rPr>
        <w:t xml:space="preserve">Epic, Feature, and Story share the same shape: each has a template, a Definition of Ready, and a Definition of Done. The difference is scope and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53"/>
        <w:gridCol w:w="2553"/>
        <w:gridCol w:w="2554"/>
      </w:tblGrid>
      <w:tr>
        <w:tc>
          <w:tcPr>
            <w:tcW w:type="dxa" w:w="170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
            </w:r>
          </w:p>
        </w:tc>
        <w:tc>
          <w:tcPr>
            <w:tcW w:type="dxa" w:w="2553"/>
            <w:tcBorders>
              <w:top w:val="single" w:color="D6DCE4" w:sz="4"/>
              <w:left w:val="single" w:color="D6DCE4" w:sz="4"/>
              <w:bottom w:val="single" w:color="D6DCE4" w:sz="4"/>
              <w:right w:val="single" w:color="D6DCE4" w:sz="4"/>
            </w:tcBorders>
            <w:shd w:fill="2C7A7B"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Epic</w:t>
            </w:r>
          </w:p>
        </w:tc>
        <w:tc>
          <w:tcPr>
            <w:tcW w:type="dxa" w:w="2553"/>
            <w:tcBorders>
              <w:top w:val="single" w:color="D6DCE4" w:sz="4"/>
              <w:left w:val="single" w:color="D6DCE4" w:sz="4"/>
              <w:bottom w:val="single" w:color="D6DCE4" w:sz="4"/>
              <w:right w:val="single" w:color="D6DCE4" w:sz="4"/>
            </w:tcBorders>
            <w:shd w:fill="B7791F"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Feature</w:t>
            </w:r>
          </w:p>
        </w:tc>
        <w:tc>
          <w:tcPr>
            <w:tcW w:type="dxa" w:w="2554"/>
            <w:tcBorders>
              <w:top w:val="single" w:color="D6DCE4" w:sz="4"/>
              <w:left w:val="single" w:color="D6DCE4" w:sz="4"/>
              <w:bottom w:val="single" w:color="D6DCE4" w:sz="4"/>
              <w:right w:val="single" w:color="D6DCE4" w:sz="4"/>
            </w:tcBorders>
            <w:shd w:fill="6B46C1"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Story</w:t>
            </w:r>
          </w:p>
        </w:tc>
      </w:tr>
      <w:tr>
        <w:tc>
          <w:tcPr>
            <w:tcW w:type="dxa" w:w="1700"/>
            <w:tcBorders>
              <w:top w:val="single" w:color="D6DCE4" w:sz="4"/>
              <w:left w:val="single" w:color="D6DCE4" w:sz="4"/>
              <w:bottom w:val="single" w:color="D6DCE4" w:sz="4"/>
              <w:right w:val="single" w:color="D6DCE4" w:sz="4"/>
            </w:tcBorders>
            <w:shd w:fill="F5F7FA" w:val="clear"/>
            <w:tcMar>
              <w:top w:type="dxa" w:w="100"/>
              <w:left w:type="dxa" w:w="140"/>
              <w:bottom w:type="dxa" w:w="100"/>
              <w:right w:type="dxa" w:w="140"/>
            </w:tcMar>
          </w:tcPr>
          <w:p>
            <w:pPr>
              <w:spacing w:after="40"/>
            </w:pPr>
            <w:r>
              <w:rPr>
                <w:rFonts w:ascii="Calibri" w:cs="Calibri" w:eastAsia="Calibri" w:hAnsi="Calibri"/>
                <w:b/>
                <w:bCs/>
                <w:color w:val="1A1A1A"/>
                <w:sz w:val="20"/>
                <w:szCs w:val="20"/>
              </w:rPr>
              <w:t xml:space="preserve">Purpose</w:t>
            </w:r>
          </w:p>
        </w:tc>
        <w:tc>
          <w:tcPr>
            <w:tcW w:type="dxa" w:w="2553"/>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Strategic outcome we are willing to fund</w:t>
            </w:r>
          </w:p>
        </w:tc>
        <w:tc>
          <w:tcPr>
            <w:tcW w:type="dxa" w:w="2553"/>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Deliverable capability inside an epic</w:t>
            </w:r>
          </w:p>
        </w:tc>
        <w:tc>
          <w:tcPr>
            <w:tcW w:type="dxa" w:w="2554"/>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Sprint-sized unit of valuable work</w:t>
            </w:r>
          </w:p>
        </w:tc>
      </w:tr>
      <w:tr>
        <w:tc>
          <w:tcPr>
            <w:tcW w:type="dxa" w:w="1700"/>
            <w:tcBorders>
              <w:top w:val="single" w:color="D6DCE4" w:sz="4"/>
              <w:left w:val="single" w:color="D6DCE4" w:sz="4"/>
              <w:bottom w:val="single" w:color="D6DCE4" w:sz="4"/>
              <w:right w:val="single" w:color="D6DCE4" w:sz="4"/>
            </w:tcBorders>
            <w:shd w:fill="F5F7FA" w:val="clear"/>
            <w:tcMar>
              <w:top w:type="dxa" w:w="100"/>
              <w:left w:type="dxa" w:w="140"/>
              <w:bottom w:type="dxa" w:w="100"/>
              <w:right w:type="dxa" w:w="140"/>
            </w:tcMar>
          </w:tcPr>
          <w:p>
            <w:pPr>
              <w:spacing w:after="40"/>
            </w:pPr>
            <w:r>
              <w:rPr>
                <w:rFonts w:ascii="Calibri" w:cs="Calibri" w:eastAsia="Calibri" w:hAnsi="Calibri"/>
                <w:b/>
                <w:bCs/>
                <w:color w:val="1A1A1A"/>
                <w:sz w:val="20"/>
                <w:szCs w:val="20"/>
              </w:rPr>
              <w:t xml:space="preserve">Horizon</w:t>
            </w:r>
          </w:p>
        </w:tc>
        <w:tc>
          <w:tcPr>
            <w:tcW w:type="dxa" w:w="2553"/>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1 – 4 quarters</w:t>
            </w:r>
          </w:p>
        </w:tc>
        <w:tc>
          <w:tcPr>
            <w:tcW w:type="dxa" w:w="2553"/>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1 – 3 sprints</w:t>
            </w:r>
          </w:p>
        </w:tc>
        <w:tc>
          <w:tcPr>
            <w:tcW w:type="dxa" w:w="2554"/>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Within a single sprint</w:t>
            </w:r>
          </w:p>
        </w:tc>
      </w:tr>
      <w:tr>
        <w:tc>
          <w:tcPr>
            <w:tcW w:type="dxa" w:w="1700"/>
            <w:tcBorders>
              <w:top w:val="single" w:color="D6DCE4" w:sz="4"/>
              <w:left w:val="single" w:color="D6DCE4" w:sz="4"/>
              <w:bottom w:val="single" w:color="D6DCE4" w:sz="4"/>
              <w:right w:val="single" w:color="D6DCE4" w:sz="4"/>
            </w:tcBorders>
            <w:shd w:fill="F5F7FA" w:val="clear"/>
            <w:tcMar>
              <w:top w:type="dxa" w:w="100"/>
              <w:left w:type="dxa" w:w="140"/>
              <w:bottom w:type="dxa" w:w="100"/>
              <w:right w:type="dxa" w:w="140"/>
            </w:tcMar>
          </w:tcPr>
          <w:p>
            <w:pPr>
              <w:spacing w:after="40"/>
            </w:pPr>
            <w:r>
              <w:rPr>
                <w:rFonts w:ascii="Calibri" w:cs="Calibri" w:eastAsia="Calibri" w:hAnsi="Calibri"/>
                <w:b/>
                <w:bCs/>
                <w:color w:val="1A1A1A"/>
                <w:sz w:val="20"/>
                <w:szCs w:val="20"/>
              </w:rPr>
              <w:t xml:space="preserve">Owner</w:t>
            </w:r>
          </w:p>
        </w:tc>
        <w:tc>
          <w:tcPr>
            <w:tcW w:type="dxa" w:w="2553"/>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Business Sponsor + Product</w:t>
            </w:r>
          </w:p>
        </w:tc>
        <w:tc>
          <w:tcPr>
            <w:tcW w:type="dxa" w:w="2553"/>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Product Owner</w:t>
            </w:r>
          </w:p>
        </w:tc>
        <w:tc>
          <w:tcPr>
            <w:tcW w:type="dxa" w:w="2554"/>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Squad (PO, Devs, Analyst, QA)</w:t>
            </w:r>
          </w:p>
        </w:tc>
      </w:tr>
      <w:tr>
        <w:tc>
          <w:tcPr>
            <w:tcW w:type="dxa" w:w="1700"/>
            <w:tcBorders>
              <w:top w:val="single" w:color="D6DCE4" w:sz="4"/>
              <w:left w:val="single" w:color="D6DCE4" w:sz="4"/>
              <w:bottom w:val="single" w:color="D6DCE4" w:sz="4"/>
              <w:right w:val="single" w:color="D6DCE4" w:sz="4"/>
            </w:tcBorders>
            <w:shd w:fill="F5F7FA" w:val="clear"/>
            <w:tcMar>
              <w:top w:type="dxa" w:w="100"/>
              <w:left w:type="dxa" w:w="140"/>
              <w:bottom w:type="dxa" w:w="100"/>
              <w:right w:type="dxa" w:w="140"/>
            </w:tcMar>
          </w:tcPr>
          <w:p>
            <w:pPr>
              <w:spacing w:after="40"/>
            </w:pPr>
            <w:r>
              <w:rPr>
                <w:rFonts w:ascii="Calibri" w:cs="Calibri" w:eastAsia="Calibri" w:hAnsi="Calibri"/>
                <w:b/>
                <w:bCs/>
                <w:color w:val="1A1A1A"/>
                <w:sz w:val="20"/>
                <w:szCs w:val="20"/>
              </w:rPr>
              <w:t xml:space="preserve">Sign-off</w:t>
            </w:r>
          </w:p>
        </w:tc>
        <w:tc>
          <w:tcPr>
            <w:tcW w:type="dxa" w:w="2553"/>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Portfolio review board</w:t>
            </w:r>
          </w:p>
        </w:tc>
        <w:tc>
          <w:tcPr>
            <w:tcW w:type="dxa" w:w="2553"/>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PO + business validation in production</w:t>
            </w:r>
          </w:p>
        </w:tc>
        <w:tc>
          <w:tcPr>
            <w:tcW w:type="dxa" w:w="2554"/>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PO + QA at sprint demo</w:t>
            </w:r>
          </w:p>
        </w:tc>
      </w:tr>
      <w:tr>
        <w:tc>
          <w:tcPr>
            <w:tcW w:type="dxa" w:w="1700"/>
            <w:tcBorders>
              <w:top w:val="single" w:color="D6DCE4" w:sz="4"/>
              <w:left w:val="single" w:color="D6DCE4" w:sz="4"/>
              <w:bottom w:val="single" w:color="D6DCE4" w:sz="4"/>
              <w:right w:val="single" w:color="D6DCE4" w:sz="4"/>
            </w:tcBorders>
            <w:shd w:fill="F5F7FA" w:val="clear"/>
            <w:tcMar>
              <w:top w:type="dxa" w:w="100"/>
              <w:left w:type="dxa" w:w="140"/>
              <w:bottom w:type="dxa" w:w="100"/>
              <w:right w:type="dxa" w:w="140"/>
            </w:tcMar>
          </w:tcPr>
          <w:p>
            <w:pPr>
              <w:spacing w:after="40"/>
            </w:pPr>
            <w:r>
              <w:rPr>
                <w:rFonts w:ascii="Calibri" w:cs="Calibri" w:eastAsia="Calibri" w:hAnsi="Calibri"/>
                <w:b/>
                <w:bCs/>
                <w:color w:val="1A1A1A"/>
                <w:sz w:val="20"/>
                <w:szCs w:val="20"/>
              </w:rPr>
              <w:t xml:space="preserve">Done means</w:t>
            </w:r>
          </w:p>
        </w:tc>
        <w:tc>
          <w:tcPr>
            <w:tcW w:type="dxa" w:w="2553"/>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Outcome measured against baseline</w:t>
            </w:r>
          </w:p>
        </w:tc>
        <w:tc>
          <w:tcPr>
            <w:tcW w:type="dxa" w:w="2553"/>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Capability live, validated, documented</w:t>
            </w:r>
          </w:p>
        </w:tc>
        <w:tc>
          <w:tcPr>
            <w:tcW w:type="dxa" w:w="2554"/>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Acceptance criteria met, deployed</w:t>
            </w:r>
          </w:p>
        </w:tc>
      </w:tr>
    </w:tbl>
    <w:p>
      <w:pPr>
        <w:spacing w:after="100" w:before="160"/>
        <w:jc w:val="left"/>
      </w:pPr>
      <w:r>
        <w:rPr>
          <w:rFonts w:ascii="Calibri" w:cs="Calibri" w:eastAsia="Calibri" w:hAnsi="Calibri"/>
          <w:color w:val="0F2A4A"/>
        </w:rPr>
        <w:t xml:space="preserve">Each level builds on the one above it. A story is only as clear as the feature it serves; a feature is only as valuable as the epic it advances.</w:t>
      </w:r>
    </w:p>
    <w:p>
      <w:pPr>
        <w:pStyle w:val="Heading1"/>
        <w:spacing w:after="160" w:before="320"/>
      </w:pPr>
      <w:r>
        <w:rPr>
          <w:rFonts w:ascii="Calibri" w:cs="Calibri" w:eastAsia="Calibri" w:hAnsi="Calibri"/>
          <w:b/>
          <w:bCs/>
          <w:color w:val="0F2A4A"/>
          <w:sz w:val="36"/>
          <w:szCs w:val="36"/>
        </w:rPr>
        <w:t xml:space="preserve">3. Lifecycle Coverage</w:t>
      </w:r>
    </w:p>
    <w:p>
      <w:pPr>
        <w:spacing w:after="100" w:before="0"/>
        <w:jc w:val="left"/>
      </w:pPr>
      <w:r>
        <w:rPr>
          <w:rFonts w:ascii="Calibri" w:cs="Calibri" w:eastAsia="Calibri" w:hAnsi="Calibri"/>
        </w:rPr>
        <w:t xml:space="preserve">Our lending lifecycle has ten stages. Every epic, feature, and story tags the stages it touches and the lines of business it serves. This makes it easy to answer questions like: “What work is in flight in Servicing right now? Who owns it? What is downstream of this story in CapMkts?”</w:t>
      </w:r>
    </w:p>
    <w:p>
      <w:pPr>
        <w:pStyle w:val="Heading3"/>
        <w:spacing w:after="80" w:before="180"/>
      </w:pPr>
      <w:r>
        <w:rPr>
          <w:rFonts w:ascii="Calibri" w:cs="Calibri" w:eastAsia="Calibri" w:hAnsi="Calibri"/>
          <w:b/>
          <w:bCs/>
          <w:color w:val="0F2A4A"/>
          <w:sz w:val="24"/>
          <w:szCs w:val="24"/>
        </w:rPr>
        <w:t xml:space="preserve">Lifecycle stages</w:t>
      </w:r>
    </w:p>
    <w:p>
      <w:pPr>
        <w:pStyle w:val="ListParagraph"/>
        <w:numPr>
          <w:ilvl w:val="0"/>
          <w:numId w:val="2"/>
        </w:numPr>
        <w:spacing w:after="60"/>
      </w:pPr>
      <w:r>
        <w:rPr>
          <w:rFonts w:ascii="Calibri" w:cs="Calibri" w:eastAsia="Calibri" w:hAnsi="Calibri"/>
          <w:sz w:val="22"/>
          <w:szCs w:val="22"/>
        </w:rPr>
        <w:t xml:space="preserve">Acquisition — Lender delivery, loan registration, file completeness.</w:t>
      </w:r>
    </w:p>
    <w:p>
      <w:pPr>
        <w:pStyle w:val="ListParagraph"/>
        <w:numPr>
          <w:ilvl w:val="0"/>
          <w:numId w:val="2"/>
        </w:numPr>
        <w:spacing w:after="60"/>
      </w:pPr>
      <w:r>
        <w:rPr>
          <w:rFonts w:ascii="Calibri" w:cs="Calibri" w:eastAsia="Calibri" w:hAnsi="Calibri"/>
          <w:sz w:val="22"/>
          <w:szCs w:val="22"/>
        </w:rPr>
        <w:t xml:space="preserve">Underwriting — Eligibility, credit decisioning, documentation review.</w:t>
      </w:r>
    </w:p>
    <w:p>
      <w:pPr>
        <w:pStyle w:val="ListParagraph"/>
        <w:numPr>
          <w:ilvl w:val="0"/>
          <w:numId w:val="2"/>
        </w:numPr>
        <w:spacing w:after="60"/>
      </w:pPr>
      <w:r>
        <w:rPr>
          <w:rFonts w:ascii="Calibri" w:cs="Calibri" w:eastAsia="Calibri" w:hAnsi="Calibri"/>
          <w:sz w:val="22"/>
          <w:szCs w:val="22"/>
        </w:rPr>
        <w:t xml:space="preserve">Pricing &amp; Commitments — Pricing, lender commitments, lock management.</w:t>
      </w:r>
    </w:p>
    <w:p>
      <w:pPr>
        <w:pStyle w:val="ListParagraph"/>
        <w:numPr>
          <w:ilvl w:val="0"/>
          <w:numId w:val="2"/>
        </w:numPr>
        <w:spacing w:after="60"/>
      </w:pPr>
      <w:r>
        <w:rPr>
          <w:rFonts w:ascii="Calibri" w:cs="Calibri" w:eastAsia="Calibri" w:hAnsi="Calibri"/>
          <w:sz w:val="22"/>
          <w:szCs w:val="22"/>
        </w:rPr>
        <w:t xml:space="preserve">Loan Boarding — Servicing transfer, system of record setup.</w:t>
      </w:r>
    </w:p>
    <w:p>
      <w:pPr>
        <w:pStyle w:val="ListParagraph"/>
        <w:numPr>
          <w:ilvl w:val="0"/>
          <w:numId w:val="2"/>
        </w:numPr>
        <w:spacing w:after="60"/>
      </w:pPr>
      <w:r>
        <w:rPr>
          <w:rFonts w:ascii="Calibri" w:cs="Calibri" w:eastAsia="Calibri" w:hAnsi="Calibri"/>
          <w:sz w:val="22"/>
          <w:szCs w:val="22"/>
        </w:rPr>
        <w:t xml:space="preserve">Servicing — Payments, escrow, customer service, statements, modifications.</w:t>
      </w:r>
    </w:p>
    <w:p>
      <w:pPr>
        <w:pStyle w:val="ListParagraph"/>
        <w:numPr>
          <w:ilvl w:val="0"/>
          <w:numId w:val="2"/>
        </w:numPr>
        <w:spacing w:after="60"/>
      </w:pPr>
      <w:r>
        <w:rPr>
          <w:rFonts w:ascii="Calibri" w:cs="Calibri" w:eastAsia="Calibri" w:hAnsi="Calibri"/>
          <w:sz w:val="22"/>
          <w:szCs w:val="22"/>
        </w:rPr>
        <w:t xml:space="preserve">Default Mgmt &amp; Loss Mit — Delinquency, workout, foreclosure, REO, claims.</w:t>
      </w:r>
    </w:p>
    <w:p>
      <w:pPr>
        <w:pStyle w:val="ListParagraph"/>
        <w:numPr>
          <w:ilvl w:val="0"/>
          <w:numId w:val="2"/>
        </w:numPr>
        <w:spacing w:after="60"/>
      </w:pPr>
      <w:r>
        <w:rPr>
          <w:rFonts w:ascii="Calibri" w:cs="Calibri" w:eastAsia="Calibri" w:hAnsi="Calibri"/>
          <w:sz w:val="22"/>
          <w:szCs w:val="22"/>
        </w:rPr>
        <w:t xml:space="preserve">Securitization &amp; Pooling — Pool formation, allocation, WAC, settlement.</w:t>
      </w:r>
    </w:p>
    <w:p>
      <w:pPr>
        <w:pStyle w:val="ListParagraph"/>
        <w:numPr>
          <w:ilvl w:val="0"/>
          <w:numId w:val="2"/>
        </w:numPr>
        <w:spacing w:after="60"/>
      </w:pPr>
      <w:r>
        <w:rPr>
          <w:rFonts w:ascii="Calibri" w:cs="Calibri" w:eastAsia="Calibri" w:hAnsi="Calibri"/>
          <w:sz w:val="22"/>
          <w:szCs w:val="22"/>
        </w:rPr>
        <w:t xml:space="preserve">Investor Reporting — Tape generation, remittance, factor publication.</w:t>
      </w:r>
    </w:p>
    <w:p>
      <w:pPr>
        <w:pStyle w:val="ListParagraph"/>
        <w:numPr>
          <w:ilvl w:val="0"/>
          <w:numId w:val="2"/>
        </w:numPr>
        <w:spacing w:after="60"/>
      </w:pPr>
      <w:r>
        <w:rPr>
          <w:rFonts w:ascii="Calibri" w:cs="Calibri" w:eastAsia="Calibri" w:hAnsi="Calibri"/>
          <w:sz w:val="22"/>
          <w:szCs w:val="22"/>
        </w:rPr>
        <w:t xml:space="preserve">Capital Markets Ops — Trading, hedging, debt issuance, portfolio management.</w:t>
      </w:r>
    </w:p>
    <w:p>
      <w:pPr>
        <w:pStyle w:val="ListParagraph"/>
        <w:numPr>
          <w:ilvl w:val="0"/>
          <w:numId w:val="2"/>
        </w:numPr>
        <w:spacing w:after="60"/>
      </w:pPr>
      <w:r>
        <w:rPr>
          <w:rFonts w:ascii="Calibri" w:cs="Calibri" w:eastAsia="Calibri" w:hAnsi="Calibri"/>
          <w:sz w:val="22"/>
          <w:szCs w:val="22"/>
        </w:rPr>
        <w:t xml:space="preserve">Risk &amp; Compliance — Risk reporting, regulatory submissions, internal audit.</w:t>
      </w:r>
    </w:p>
    <w:p>
      <w:pPr>
        <w:pStyle w:val="Heading3"/>
        <w:spacing w:after="80" w:before="180"/>
      </w:pPr>
      <w:r>
        <w:rPr>
          <w:rFonts w:ascii="Calibri" w:cs="Calibri" w:eastAsia="Calibri" w:hAnsi="Calibri"/>
          <w:b/>
          <w:bCs/>
          <w:color w:val="0F2A4A"/>
          <w:sz w:val="24"/>
          <w:szCs w:val="24"/>
        </w:rPr>
        <w:t xml:space="preserve">Heatmap of activity by line of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750"/>
        <w:gridCol w:w="750"/>
        <w:gridCol w:w="750"/>
        <w:gridCol w:w="750"/>
        <w:gridCol w:w="750"/>
        <w:gridCol w:w="750"/>
        <w:gridCol w:w="750"/>
        <w:gridCol w:w="750"/>
        <w:gridCol w:w="750"/>
        <w:gridCol w:w="750"/>
      </w:tblGrid>
      <w:tr>
        <w:tc>
          <w:tcPr>
            <w:tcW w:type="dxa" w:w="186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18"/>
                <w:szCs w:val="18"/>
              </w:rPr>
              <w:t xml:space="preserve"/>
            </w:r>
          </w:p>
        </w:tc>
        <w:tc>
          <w:tcPr>
            <w:tcW w:type="dxa" w:w="75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18"/>
                <w:szCs w:val="18"/>
              </w:rPr>
              <w:t xml:space="preserve">Acq</w:t>
            </w:r>
          </w:p>
        </w:tc>
        <w:tc>
          <w:tcPr>
            <w:tcW w:type="dxa" w:w="75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18"/>
                <w:szCs w:val="18"/>
              </w:rPr>
              <w:t xml:space="preserve">UW</w:t>
            </w:r>
          </w:p>
        </w:tc>
        <w:tc>
          <w:tcPr>
            <w:tcW w:type="dxa" w:w="75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18"/>
                <w:szCs w:val="18"/>
              </w:rPr>
              <w:t xml:space="preserve">Price</w:t>
            </w:r>
          </w:p>
        </w:tc>
        <w:tc>
          <w:tcPr>
            <w:tcW w:type="dxa" w:w="75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18"/>
                <w:szCs w:val="18"/>
              </w:rPr>
              <w:t xml:space="preserve">Board</w:t>
            </w:r>
          </w:p>
        </w:tc>
        <w:tc>
          <w:tcPr>
            <w:tcW w:type="dxa" w:w="75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18"/>
                <w:szCs w:val="18"/>
              </w:rPr>
              <w:t xml:space="preserve">Svc</w:t>
            </w:r>
          </w:p>
        </w:tc>
        <w:tc>
          <w:tcPr>
            <w:tcW w:type="dxa" w:w="75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18"/>
                <w:szCs w:val="18"/>
              </w:rPr>
              <w:t xml:space="preserve">Default</w:t>
            </w:r>
          </w:p>
        </w:tc>
        <w:tc>
          <w:tcPr>
            <w:tcW w:type="dxa" w:w="75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18"/>
                <w:szCs w:val="18"/>
              </w:rPr>
              <w:t xml:space="preserve">Sec</w:t>
            </w:r>
          </w:p>
        </w:tc>
        <w:tc>
          <w:tcPr>
            <w:tcW w:type="dxa" w:w="75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18"/>
                <w:szCs w:val="18"/>
              </w:rPr>
              <w:t xml:space="preserve">Inv Rpt</w:t>
            </w:r>
          </w:p>
        </w:tc>
        <w:tc>
          <w:tcPr>
            <w:tcW w:type="dxa" w:w="75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18"/>
                <w:szCs w:val="18"/>
              </w:rPr>
              <w:t xml:space="preserve">CM Ops</w:t>
            </w:r>
          </w:p>
        </w:tc>
        <w:tc>
          <w:tcPr>
            <w:tcW w:type="dxa" w:w="75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18"/>
                <w:szCs w:val="18"/>
              </w:rPr>
              <w:t xml:space="preserve">Risk</w:t>
            </w:r>
          </w:p>
        </w:tc>
      </w:tr>
      <w:tr>
        <w:tc>
          <w:tcPr>
            <w:tcW w:type="dxa" w:w="1860"/>
            <w:tcBorders>
              <w:top w:val="single" w:color="D6DCE4" w:sz="4"/>
              <w:left w:val="single" w:color="D6DCE4" w:sz="4"/>
              <w:bottom w:val="single" w:color="D6DCE4" w:sz="4"/>
              <w:right w:val="single" w:color="D6DCE4" w:sz="4"/>
            </w:tcBorders>
            <w:shd w:fill="2C7A7B" w:val="clear"/>
            <w:tcMar>
              <w:top w:type="dxa" w:w="100"/>
              <w:left w:type="dxa" w:w="140"/>
              <w:bottom w:type="dxa" w:w="100"/>
              <w:right w:type="dxa" w:w="140"/>
            </w:tcMar>
          </w:tcPr>
          <w:p>
            <w:pPr>
              <w:spacing w:after="40"/>
            </w:pPr>
            <w:r>
              <w:rPr>
                <w:rFonts w:ascii="Calibri" w:cs="Calibri" w:eastAsia="Calibri" w:hAnsi="Calibri"/>
                <w:b/>
                <w:bCs/>
                <w:color w:val="FFFFFF"/>
                <w:sz w:val="18"/>
                <w:szCs w:val="18"/>
              </w:rPr>
              <w:t xml:space="preserve">Single Family</w:t>
            </w:r>
          </w:p>
        </w:tc>
        <w:tc>
          <w:tcPr>
            <w:tcW w:type="dxa" w:w="750"/>
            <w:tcBorders>
              <w:top w:val="single" w:color="D6DCE4" w:sz="4"/>
              <w:left w:val="single" w:color="D6DCE4" w:sz="4"/>
              <w:bottom w:val="single" w:color="D6DCE4" w:sz="4"/>
              <w:right w:val="single" w:color="D6DCE4" w:sz="4"/>
            </w:tcBorders>
            <w:shd w:fill="2C7A7B"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H</w:t>
            </w:r>
          </w:p>
        </w:tc>
        <w:tc>
          <w:tcPr>
            <w:tcW w:type="dxa" w:w="750"/>
            <w:tcBorders>
              <w:top w:val="single" w:color="D6DCE4" w:sz="4"/>
              <w:left w:val="single" w:color="D6DCE4" w:sz="4"/>
              <w:bottom w:val="single" w:color="D6DCE4" w:sz="4"/>
              <w:right w:val="single" w:color="D6DCE4" w:sz="4"/>
            </w:tcBorders>
            <w:shd w:fill="2C7A7B"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H</w:t>
            </w:r>
          </w:p>
        </w:tc>
        <w:tc>
          <w:tcPr>
            <w:tcW w:type="dxa" w:w="750"/>
            <w:tcBorders>
              <w:top w:val="single" w:color="D6DCE4" w:sz="4"/>
              <w:left w:val="single" w:color="D6DCE4" w:sz="4"/>
              <w:bottom w:val="single" w:color="D6DCE4" w:sz="4"/>
              <w:right w:val="single" w:color="D6DCE4" w:sz="4"/>
            </w:tcBorders>
            <w:shd w:fill="2C7A7B"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H</w:t>
            </w:r>
          </w:p>
        </w:tc>
        <w:tc>
          <w:tcPr>
            <w:tcW w:type="dxa" w:w="750"/>
            <w:tcBorders>
              <w:top w:val="single" w:color="D6DCE4" w:sz="4"/>
              <w:left w:val="single" w:color="D6DCE4" w:sz="4"/>
              <w:bottom w:val="single" w:color="D6DCE4" w:sz="4"/>
              <w:right w:val="single" w:color="D6DCE4" w:sz="4"/>
            </w:tcBorders>
            <w:shd w:fill="2C7A7B"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H</w:t>
            </w:r>
          </w:p>
        </w:tc>
        <w:tc>
          <w:tcPr>
            <w:tcW w:type="dxa" w:w="750"/>
            <w:tcBorders>
              <w:top w:val="single" w:color="D6DCE4" w:sz="4"/>
              <w:left w:val="single" w:color="D6DCE4" w:sz="4"/>
              <w:bottom w:val="single" w:color="D6DCE4" w:sz="4"/>
              <w:right w:val="single" w:color="D6DCE4" w:sz="4"/>
            </w:tcBorders>
            <w:shd w:fill="2C7A7B"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H</w:t>
            </w:r>
          </w:p>
        </w:tc>
        <w:tc>
          <w:tcPr>
            <w:tcW w:type="dxa" w:w="750"/>
            <w:tcBorders>
              <w:top w:val="single" w:color="D6DCE4" w:sz="4"/>
              <w:left w:val="single" w:color="D6DCE4" w:sz="4"/>
              <w:bottom w:val="single" w:color="D6DCE4" w:sz="4"/>
              <w:right w:val="single" w:color="D6DCE4" w:sz="4"/>
            </w:tcBorders>
            <w:shd w:fill="2C7A7B"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H</w:t>
            </w:r>
          </w:p>
        </w:tc>
        <w:tc>
          <w:tcPr>
            <w:tcW w:type="dxa" w:w="750"/>
            <w:tcBorders>
              <w:top w:val="single" w:color="D6DCE4" w:sz="4"/>
              <w:left w:val="single" w:color="D6DCE4" w:sz="4"/>
              <w:bottom w:val="single" w:color="D6DCE4" w:sz="4"/>
              <w:right w:val="single" w:color="D6DCE4" w:sz="4"/>
            </w:tcBorders>
            <w:shd w:fill="2C7A7B"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H</w:t>
            </w:r>
          </w:p>
        </w:tc>
        <w:tc>
          <w:tcPr>
            <w:tcW w:type="dxa" w:w="750"/>
            <w:tcBorders>
              <w:top w:val="single" w:color="D6DCE4" w:sz="4"/>
              <w:left w:val="single" w:color="D6DCE4" w:sz="4"/>
              <w:bottom w:val="single" w:color="D6DCE4" w:sz="4"/>
              <w:right w:val="single" w:color="D6DCE4" w:sz="4"/>
            </w:tcBorders>
            <w:shd w:fill="2C7A7B"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H</w:t>
            </w:r>
          </w:p>
        </w:tc>
        <w:tc>
          <w:tcPr>
            <w:tcW w:type="dxa" w:w="750"/>
            <w:tcBorders>
              <w:top w:val="single" w:color="D6DCE4" w:sz="4"/>
              <w:left w:val="single" w:color="D6DCE4" w:sz="4"/>
              <w:bottom w:val="single" w:color="D6DCE4" w:sz="4"/>
              <w:right w:val="single" w:color="D6DCE4" w:sz="4"/>
            </w:tcBorders>
            <w:shd w:fill="8FB5B5"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M</w:t>
            </w:r>
          </w:p>
        </w:tc>
        <w:tc>
          <w:tcPr>
            <w:tcW w:type="dxa" w:w="750"/>
            <w:tcBorders>
              <w:top w:val="single" w:color="D6DCE4" w:sz="4"/>
              <w:left w:val="single" w:color="D6DCE4" w:sz="4"/>
              <w:bottom w:val="single" w:color="D6DCE4" w:sz="4"/>
              <w:right w:val="single" w:color="D6DCE4" w:sz="4"/>
            </w:tcBorders>
            <w:shd w:fill="2C7A7B"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H</w:t>
            </w:r>
          </w:p>
        </w:tc>
      </w:tr>
      <w:tr>
        <w:tc>
          <w:tcPr>
            <w:tcW w:type="dxa" w:w="1860"/>
            <w:tcBorders>
              <w:top w:val="single" w:color="D6DCE4" w:sz="4"/>
              <w:left w:val="single" w:color="D6DCE4" w:sz="4"/>
              <w:bottom w:val="single" w:color="D6DCE4" w:sz="4"/>
              <w:right w:val="single" w:color="D6DCE4" w:sz="4"/>
            </w:tcBorders>
            <w:shd w:fill="B7791F" w:val="clear"/>
            <w:tcMar>
              <w:top w:type="dxa" w:w="100"/>
              <w:left w:type="dxa" w:w="140"/>
              <w:bottom w:type="dxa" w:w="100"/>
              <w:right w:type="dxa" w:w="140"/>
            </w:tcMar>
          </w:tcPr>
          <w:p>
            <w:pPr>
              <w:spacing w:after="40"/>
            </w:pPr>
            <w:r>
              <w:rPr>
                <w:rFonts w:ascii="Calibri" w:cs="Calibri" w:eastAsia="Calibri" w:hAnsi="Calibri"/>
                <w:b/>
                <w:bCs/>
                <w:color w:val="FFFFFF"/>
                <w:sz w:val="18"/>
                <w:szCs w:val="18"/>
              </w:rPr>
              <w:t xml:space="preserve">Multifamily</w:t>
            </w:r>
          </w:p>
        </w:tc>
        <w:tc>
          <w:tcPr>
            <w:tcW w:type="dxa" w:w="750"/>
            <w:tcBorders>
              <w:top w:val="single" w:color="D6DCE4" w:sz="4"/>
              <w:left w:val="single" w:color="D6DCE4" w:sz="4"/>
              <w:bottom w:val="single" w:color="D6DCE4" w:sz="4"/>
              <w:right w:val="single" w:color="D6DCE4" w:sz="4"/>
            </w:tcBorders>
            <w:shd w:fill="B7791F"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H</w:t>
            </w:r>
          </w:p>
        </w:tc>
        <w:tc>
          <w:tcPr>
            <w:tcW w:type="dxa" w:w="750"/>
            <w:tcBorders>
              <w:top w:val="single" w:color="D6DCE4" w:sz="4"/>
              <w:left w:val="single" w:color="D6DCE4" w:sz="4"/>
              <w:bottom w:val="single" w:color="D6DCE4" w:sz="4"/>
              <w:right w:val="single" w:color="D6DCE4" w:sz="4"/>
            </w:tcBorders>
            <w:shd w:fill="B7791F"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H</w:t>
            </w:r>
          </w:p>
        </w:tc>
        <w:tc>
          <w:tcPr>
            <w:tcW w:type="dxa" w:w="750"/>
            <w:tcBorders>
              <w:top w:val="single" w:color="D6DCE4" w:sz="4"/>
              <w:left w:val="single" w:color="D6DCE4" w:sz="4"/>
              <w:bottom w:val="single" w:color="D6DCE4" w:sz="4"/>
              <w:right w:val="single" w:color="D6DCE4" w:sz="4"/>
            </w:tcBorders>
            <w:shd w:fill="B7791F"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H</w:t>
            </w:r>
          </w:p>
        </w:tc>
        <w:tc>
          <w:tcPr>
            <w:tcW w:type="dxa" w:w="750"/>
            <w:tcBorders>
              <w:top w:val="single" w:color="D6DCE4" w:sz="4"/>
              <w:left w:val="single" w:color="D6DCE4" w:sz="4"/>
              <w:bottom w:val="single" w:color="D6DCE4" w:sz="4"/>
              <w:right w:val="single" w:color="D6DCE4" w:sz="4"/>
            </w:tcBorders>
            <w:shd w:fill="B7791F"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H</w:t>
            </w:r>
          </w:p>
        </w:tc>
        <w:tc>
          <w:tcPr>
            <w:tcW w:type="dxa" w:w="750"/>
            <w:tcBorders>
              <w:top w:val="single" w:color="D6DCE4" w:sz="4"/>
              <w:left w:val="single" w:color="D6DCE4" w:sz="4"/>
              <w:bottom w:val="single" w:color="D6DCE4" w:sz="4"/>
              <w:right w:val="single" w:color="D6DCE4" w:sz="4"/>
            </w:tcBorders>
            <w:shd w:fill="B7791F"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H</w:t>
            </w:r>
          </w:p>
        </w:tc>
        <w:tc>
          <w:tcPr>
            <w:tcW w:type="dxa" w:w="750"/>
            <w:tcBorders>
              <w:top w:val="single" w:color="D6DCE4" w:sz="4"/>
              <w:left w:val="single" w:color="D6DCE4" w:sz="4"/>
              <w:bottom w:val="single" w:color="D6DCE4" w:sz="4"/>
              <w:right w:val="single" w:color="D6DCE4" w:sz="4"/>
            </w:tcBorders>
            <w:shd w:fill="E0BC78"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M</w:t>
            </w:r>
          </w:p>
        </w:tc>
        <w:tc>
          <w:tcPr>
            <w:tcW w:type="dxa" w:w="750"/>
            <w:tcBorders>
              <w:top w:val="single" w:color="D6DCE4" w:sz="4"/>
              <w:left w:val="single" w:color="D6DCE4" w:sz="4"/>
              <w:bottom w:val="single" w:color="D6DCE4" w:sz="4"/>
              <w:right w:val="single" w:color="D6DCE4" w:sz="4"/>
            </w:tcBorders>
            <w:shd w:fill="E0BC78"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M</w:t>
            </w:r>
          </w:p>
        </w:tc>
        <w:tc>
          <w:tcPr>
            <w:tcW w:type="dxa" w:w="750"/>
            <w:tcBorders>
              <w:top w:val="single" w:color="D6DCE4" w:sz="4"/>
              <w:left w:val="single" w:color="D6DCE4" w:sz="4"/>
              <w:bottom w:val="single" w:color="D6DCE4" w:sz="4"/>
              <w:right w:val="single" w:color="D6DCE4" w:sz="4"/>
            </w:tcBorders>
            <w:shd w:fill="B7791F"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H</w:t>
            </w:r>
          </w:p>
        </w:tc>
        <w:tc>
          <w:tcPr>
            <w:tcW w:type="dxa" w:w="750"/>
            <w:tcBorders>
              <w:top w:val="single" w:color="D6DCE4" w:sz="4"/>
              <w:left w:val="single" w:color="D6DCE4" w:sz="4"/>
              <w:bottom w:val="single" w:color="D6DCE4" w:sz="4"/>
              <w:right w:val="single" w:color="D6DCE4" w:sz="4"/>
            </w:tcBorders>
            <w:shd w:fill="E0BC78"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M</w:t>
            </w:r>
          </w:p>
        </w:tc>
        <w:tc>
          <w:tcPr>
            <w:tcW w:type="dxa" w:w="750"/>
            <w:tcBorders>
              <w:top w:val="single" w:color="D6DCE4" w:sz="4"/>
              <w:left w:val="single" w:color="D6DCE4" w:sz="4"/>
              <w:bottom w:val="single" w:color="D6DCE4" w:sz="4"/>
              <w:right w:val="single" w:color="D6DCE4" w:sz="4"/>
            </w:tcBorders>
            <w:shd w:fill="B7791F"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H</w:t>
            </w:r>
          </w:p>
        </w:tc>
      </w:tr>
      <w:tr>
        <w:tc>
          <w:tcPr>
            <w:tcW w:type="dxa" w:w="1860"/>
            <w:tcBorders>
              <w:top w:val="single" w:color="D6DCE4" w:sz="4"/>
              <w:left w:val="single" w:color="D6DCE4" w:sz="4"/>
              <w:bottom w:val="single" w:color="D6DCE4" w:sz="4"/>
              <w:right w:val="single" w:color="D6DCE4" w:sz="4"/>
            </w:tcBorders>
            <w:shd w:fill="6B46C1" w:val="clear"/>
            <w:tcMar>
              <w:top w:type="dxa" w:w="100"/>
              <w:left w:type="dxa" w:w="140"/>
              <w:bottom w:type="dxa" w:w="100"/>
              <w:right w:type="dxa" w:w="140"/>
            </w:tcMar>
          </w:tcPr>
          <w:p>
            <w:pPr>
              <w:spacing w:after="40"/>
            </w:pPr>
            <w:r>
              <w:rPr>
                <w:rFonts w:ascii="Calibri" w:cs="Calibri" w:eastAsia="Calibri" w:hAnsi="Calibri"/>
                <w:b/>
                <w:bCs/>
                <w:color w:val="FFFFFF"/>
                <w:sz w:val="18"/>
                <w:szCs w:val="18"/>
              </w:rPr>
              <w:t xml:space="preserve">Capital Markets</w:t>
            </w:r>
          </w:p>
        </w:tc>
        <w:tc>
          <w:tcPr>
            <w:tcW w:type="dxa" w:w="750"/>
            <w:tcBorders>
              <w:top w:val="single" w:color="D6DCE4" w:sz="4"/>
              <w:left w:val="single" w:color="D6DCE4" w:sz="4"/>
              <w:bottom w:val="single" w:color="D6DCE4" w:sz="4"/>
              <w:right w:val="single" w:color="D6DCE4" w:sz="4"/>
            </w:tcBorders>
            <w:shd w:fill="EAEEF3" w:val="clear"/>
            <w:tcMar>
              <w:top w:type="dxa" w:w="100"/>
              <w:left w:type="dxa" w:w="140"/>
              <w:bottom w:type="dxa" w:w="100"/>
              <w:right w:type="dxa" w:w="140"/>
            </w:tcMar>
          </w:tcPr>
          <w:p>
            <w:pPr>
              <w:spacing w:after="40"/>
            </w:pPr>
            <w:r>
              <w:rPr>
                <w:rFonts w:ascii="Calibri" w:cs="Calibri" w:eastAsia="Calibri" w:hAnsi="Calibri"/>
                <w:b w:val="false"/>
                <w:bCs w:val="false"/>
                <w:color w:val="6B7280"/>
                <w:sz w:val="18"/>
                <w:szCs w:val="18"/>
              </w:rPr>
              <w:t xml:space="preserve">L</w:t>
            </w:r>
          </w:p>
        </w:tc>
        <w:tc>
          <w:tcPr>
            <w:tcW w:type="dxa" w:w="750"/>
            <w:tcBorders>
              <w:top w:val="single" w:color="D6DCE4" w:sz="4"/>
              <w:left w:val="single" w:color="D6DCE4" w:sz="4"/>
              <w:bottom w:val="single" w:color="D6DCE4" w:sz="4"/>
              <w:right w:val="single" w:color="D6DCE4" w:sz="4"/>
            </w:tcBorders>
            <w:shd w:fill="EAEEF3" w:val="clear"/>
            <w:tcMar>
              <w:top w:type="dxa" w:w="100"/>
              <w:left w:type="dxa" w:w="140"/>
              <w:bottom w:type="dxa" w:w="100"/>
              <w:right w:type="dxa" w:w="140"/>
            </w:tcMar>
          </w:tcPr>
          <w:p>
            <w:pPr>
              <w:spacing w:after="40"/>
            </w:pPr>
            <w:r>
              <w:rPr>
                <w:rFonts w:ascii="Calibri" w:cs="Calibri" w:eastAsia="Calibri" w:hAnsi="Calibri"/>
                <w:b w:val="false"/>
                <w:bCs w:val="false"/>
                <w:color w:val="6B7280"/>
                <w:sz w:val="18"/>
                <w:szCs w:val="18"/>
              </w:rPr>
              <w:t xml:space="preserve">L</w:t>
            </w:r>
          </w:p>
        </w:tc>
        <w:tc>
          <w:tcPr>
            <w:tcW w:type="dxa" w:w="750"/>
            <w:tcBorders>
              <w:top w:val="single" w:color="D6DCE4" w:sz="4"/>
              <w:left w:val="single" w:color="D6DCE4" w:sz="4"/>
              <w:bottom w:val="single" w:color="D6DCE4" w:sz="4"/>
              <w:right w:val="single" w:color="D6DCE4" w:sz="4"/>
            </w:tcBorders>
            <w:shd w:fill="B49DD8"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M</w:t>
            </w:r>
          </w:p>
        </w:tc>
        <w:tc>
          <w:tcPr>
            <w:tcW w:type="dxa" w:w="750"/>
            <w:tcBorders>
              <w:top w:val="single" w:color="D6DCE4" w:sz="4"/>
              <w:left w:val="single" w:color="D6DCE4" w:sz="4"/>
              <w:bottom w:val="single" w:color="D6DCE4" w:sz="4"/>
              <w:right w:val="single" w:color="D6DCE4" w:sz="4"/>
            </w:tcBorders>
            <w:shd w:fill="EAEEF3" w:val="clear"/>
            <w:tcMar>
              <w:top w:type="dxa" w:w="100"/>
              <w:left w:type="dxa" w:w="140"/>
              <w:bottom w:type="dxa" w:w="100"/>
              <w:right w:type="dxa" w:w="140"/>
            </w:tcMar>
          </w:tcPr>
          <w:p>
            <w:pPr>
              <w:spacing w:after="40"/>
            </w:pPr>
            <w:r>
              <w:rPr>
                <w:rFonts w:ascii="Calibri" w:cs="Calibri" w:eastAsia="Calibri" w:hAnsi="Calibri"/>
                <w:b w:val="false"/>
                <w:bCs w:val="false"/>
                <w:color w:val="6B7280"/>
                <w:sz w:val="18"/>
                <w:szCs w:val="18"/>
              </w:rPr>
              <w:t xml:space="preserve">L</w:t>
            </w:r>
          </w:p>
        </w:tc>
        <w:tc>
          <w:tcPr>
            <w:tcW w:type="dxa" w:w="750"/>
            <w:tcBorders>
              <w:top w:val="single" w:color="D6DCE4" w:sz="4"/>
              <w:left w:val="single" w:color="D6DCE4" w:sz="4"/>
              <w:bottom w:val="single" w:color="D6DCE4" w:sz="4"/>
              <w:right w:val="single" w:color="D6DCE4" w:sz="4"/>
            </w:tcBorders>
            <w:shd w:fill="B49DD8"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M</w:t>
            </w:r>
          </w:p>
        </w:tc>
        <w:tc>
          <w:tcPr>
            <w:tcW w:type="dxa" w:w="750"/>
            <w:tcBorders>
              <w:top w:val="single" w:color="D6DCE4" w:sz="4"/>
              <w:left w:val="single" w:color="D6DCE4" w:sz="4"/>
              <w:bottom w:val="single" w:color="D6DCE4" w:sz="4"/>
              <w:right w:val="single" w:color="D6DCE4" w:sz="4"/>
            </w:tcBorders>
            <w:shd w:fill="EAEEF3" w:val="clear"/>
            <w:tcMar>
              <w:top w:type="dxa" w:w="100"/>
              <w:left w:type="dxa" w:w="140"/>
              <w:bottom w:type="dxa" w:w="100"/>
              <w:right w:type="dxa" w:w="140"/>
            </w:tcMar>
          </w:tcPr>
          <w:p>
            <w:pPr>
              <w:spacing w:after="40"/>
            </w:pPr>
            <w:r>
              <w:rPr>
                <w:rFonts w:ascii="Calibri" w:cs="Calibri" w:eastAsia="Calibri" w:hAnsi="Calibri"/>
                <w:b w:val="false"/>
                <w:bCs w:val="false"/>
                <w:color w:val="6B7280"/>
                <w:sz w:val="18"/>
                <w:szCs w:val="18"/>
              </w:rPr>
              <w:t xml:space="preserve">L</w:t>
            </w:r>
          </w:p>
        </w:tc>
        <w:tc>
          <w:tcPr>
            <w:tcW w:type="dxa" w:w="750"/>
            <w:tcBorders>
              <w:top w:val="single" w:color="D6DCE4" w:sz="4"/>
              <w:left w:val="single" w:color="D6DCE4" w:sz="4"/>
              <w:bottom w:val="single" w:color="D6DCE4" w:sz="4"/>
              <w:right w:val="single" w:color="D6DCE4" w:sz="4"/>
            </w:tcBorders>
            <w:shd w:fill="6B46C1"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H</w:t>
            </w:r>
          </w:p>
        </w:tc>
        <w:tc>
          <w:tcPr>
            <w:tcW w:type="dxa" w:w="750"/>
            <w:tcBorders>
              <w:top w:val="single" w:color="D6DCE4" w:sz="4"/>
              <w:left w:val="single" w:color="D6DCE4" w:sz="4"/>
              <w:bottom w:val="single" w:color="D6DCE4" w:sz="4"/>
              <w:right w:val="single" w:color="D6DCE4" w:sz="4"/>
            </w:tcBorders>
            <w:shd w:fill="6B46C1"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H</w:t>
            </w:r>
          </w:p>
        </w:tc>
        <w:tc>
          <w:tcPr>
            <w:tcW w:type="dxa" w:w="750"/>
            <w:tcBorders>
              <w:top w:val="single" w:color="D6DCE4" w:sz="4"/>
              <w:left w:val="single" w:color="D6DCE4" w:sz="4"/>
              <w:bottom w:val="single" w:color="D6DCE4" w:sz="4"/>
              <w:right w:val="single" w:color="D6DCE4" w:sz="4"/>
            </w:tcBorders>
            <w:shd w:fill="6B46C1"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H</w:t>
            </w:r>
          </w:p>
        </w:tc>
        <w:tc>
          <w:tcPr>
            <w:tcW w:type="dxa" w:w="750"/>
            <w:tcBorders>
              <w:top w:val="single" w:color="D6DCE4" w:sz="4"/>
              <w:left w:val="single" w:color="D6DCE4" w:sz="4"/>
              <w:bottom w:val="single" w:color="D6DCE4" w:sz="4"/>
              <w:right w:val="single" w:color="D6DCE4" w:sz="4"/>
            </w:tcBorders>
            <w:shd w:fill="6B46C1" w:val="clear"/>
            <w:tcMar>
              <w:top w:type="dxa" w:w="100"/>
              <w:left w:type="dxa" w:w="140"/>
              <w:bottom w:type="dxa" w:w="100"/>
              <w:right w:type="dxa" w:w="140"/>
            </w:tcMar>
          </w:tcPr>
          <w:p>
            <w:pPr>
              <w:spacing w:after="40"/>
            </w:pPr>
            <w:r>
              <w:rPr>
                <w:rFonts w:ascii="Calibri" w:cs="Calibri" w:eastAsia="Calibri" w:hAnsi="Calibri"/>
                <w:b w:val="false"/>
                <w:bCs w:val="false"/>
                <w:color w:val="FFFFFF"/>
                <w:sz w:val="18"/>
                <w:szCs w:val="18"/>
              </w:rPr>
              <w:t xml:space="preserve">H</w:t>
            </w:r>
          </w:p>
        </w:tc>
      </w:tr>
    </w:tbl>
    <w:p>
      <w:pPr>
        <w:spacing w:after="100" w:before="80"/>
        <w:jc w:val="left"/>
      </w:pPr>
      <w:r>
        <w:rPr>
          <w:rFonts w:ascii="Calibri" w:cs="Calibri" w:eastAsia="Calibri" w:hAnsi="Calibri"/>
          <w:color w:val="6B7280"/>
        </w:rPr>
        <w:t xml:space="preserve">H = high activity / focus area · M = moderate · L = light</w:t>
      </w:r>
    </w:p>
    <w:p>
      <w:pPr>
        <w:pStyle w:val="Heading3"/>
        <w:spacing w:after="80" w:before="180"/>
      </w:pPr>
      <w:r>
        <w:rPr>
          <w:rFonts w:ascii="Calibri" w:cs="Calibri" w:eastAsia="Calibri" w:hAnsi="Calibri"/>
          <w:b/>
          <w:bCs/>
          <w:color w:val="0F2A4A"/>
          <w:sz w:val="24"/>
          <w:szCs w:val="24"/>
        </w:rPr>
        <w:t xml:space="preserve">Why a unified shape matters</w:t>
      </w:r>
    </w:p>
    <w:p>
      <w:pPr>
        <w:spacing w:after="100" w:before="0"/>
        <w:jc w:val="left"/>
      </w:pPr>
      <w:r>
        <w:rPr>
          <w:rFonts w:ascii="Calibri" w:cs="Calibri" w:eastAsia="Calibri" w:hAnsi="Calibri"/>
        </w:rPr>
        <w:t xml:space="preserve">Most of our highest-value work crosses two or more lifecycle stages and at least one LoB boundary. A common epic-feature-story shape lets a story written in Servicing flow naturally into Investor Reporting without translation overhead — and lets a CapMkts feature reuse SF and MF data products without re-specifying them.</w:t>
      </w:r>
    </w:p>
    <w:p>
      <w:r>
        <w:br w:type="page"/>
      </w:r>
    </w:p>
    <w:p>
      <w:pPr>
        <w:pStyle w:val="Heading1"/>
        <w:spacing w:after="160" w:before="320"/>
      </w:pPr>
      <w:r>
        <w:rPr>
          <w:rFonts w:ascii="Calibri" w:cs="Calibri" w:eastAsia="Calibri" w:hAnsi="Calibri"/>
          <w:b/>
          <w:bCs/>
          <w:color w:val="0F2A4A"/>
          <w:sz w:val="36"/>
          <w:szCs w:val="36"/>
        </w:rPr>
        <w:t xml:space="preserve">4. Industry Practices We Lean On</w:t>
      </w:r>
    </w:p>
    <w:p>
      <w:pPr>
        <w:spacing w:after="100" w:before="0"/>
        <w:jc w:val="left"/>
      </w:pPr>
      <w:r>
        <w:rPr>
          <w:rFonts w:ascii="Calibri" w:cs="Calibri" w:eastAsia="Calibri" w:hAnsi="Calibri"/>
        </w:rPr>
        <w:t xml:space="preserve">We're not reinventing the wheel. The playbook borrows directly from SAFe, Scrum, Mike Cohn's user-story canon, and BDD. These are well-documented practices — easy to onboard new team members and easy to defend in any portfolio or audit conversation.</w:t>
      </w:r>
    </w:p>
    <w:p>
      <w:pPr>
        <w:pStyle w:val="Heading2"/>
        <w:spacing w:after="120" w:before="240"/>
      </w:pPr>
      <w:r>
        <w:rPr>
          <w:rFonts w:ascii="Calibri" w:cs="Calibri" w:eastAsia="Calibri" w:hAnsi="Calibri"/>
          <w:b/>
          <w:bCs/>
          <w:color w:val="0F2A4A"/>
          <w:sz w:val="28"/>
          <w:szCs w:val="28"/>
        </w:rPr>
        <w:t xml:space="preserve">4.1 Epic-level practices</w:t>
      </w:r>
    </w:p>
    <w:p>
      <w:pPr>
        <w:pStyle w:val="ListParagraph"/>
        <w:numPr>
          <w:ilvl w:val="0"/>
          <w:numId w:val="2"/>
        </w:numPr>
        <w:spacing w:after="60"/>
      </w:pPr>
      <w:r>
        <w:rPr>
          <w:rFonts w:ascii="Calibri" w:cs="Calibri" w:eastAsia="Calibri" w:hAnsi="Calibri"/>
          <w:sz w:val="22"/>
          <w:szCs w:val="22"/>
        </w:rPr>
        <w:t xml:space="preserve">Lean Business Case (SAFe). A short, structured framing of the epic: hypothesis, leading indicators, MVP outcome, and NFRs. Replaces the 30-page PRD with one page that the portfolio actually reads.</w:t>
      </w:r>
    </w:p>
    <w:p>
      <w:pPr>
        <w:pStyle w:val="ListParagraph"/>
        <w:numPr>
          <w:ilvl w:val="0"/>
          <w:numId w:val="2"/>
        </w:numPr>
        <w:spacing w:after="60"/>
      </w:pPr>
      <w:r>
        <w:rPr>
          <w:rFonts w:ascii="Calibri" w:cs="Calibri" w:eastAsia="Calibri" w:hAnsi="Calibri"/>
          <w:sz w:val="22"/>
          <w:szCs w:val="22"/>
        </w:rPr>
        <w:t xml:space="preserve">Hypothesis statement. “We believe [outcome] will result from [change], evidenced by [metric].” Forces the team to commit to a measurable belief, not an output.</w:t>
      </w:r>
    </w:p>
    <w:p>
      <w:pPr>
        <w:pStyle w:val="ListParagraph"/>
        <w:numPr>
          <w:ilvl w:val="0"/>
          <w:numId w:val="2"/>
        </w:numPr>
        <w:spacing w:after="60"/>
      </w:pPr>
      <w:r>
        <w:rPr>
          <w:rFonts w:ascii="Calibri" w:cs="Calibri" w:eastAsia="Calibri" w:hAnsi="Calibri"/>
          <w:sz w:val="22"/>
          <w:szCs w:val="22"/>
        </w:rPr>
        <w:t xml:space="preserve">WSJF prioritization (SAFe). Weighted Shortest Job First — cost of delay divided by job size. Keeps the portfolio honest about what to fund first.</w:t>
      </w:r>
    </w:p>
    <w:p>
      <w:pPr>
        <w:pStyle w:val="ListParagraph"/>
        <w:numPr>
          <w:ilvl w:val="0"/>
          <w:numId w:val="2"/>
        </w:numPr>
        <w:spacing w:after="60"/>
      </w:pPr>
      <w:r>
        <w:rPr>
          <w:rFonts w:ascii="Calibri" w:cs="Calibri" w:eastAsia="Calibri" w:hAnsi="Calibri"/>
          <w:sz w:val="22"/>
          <w:szCs w:val="22"/>
        </w:rPr>
        <w:t xml:space="preserve">Quarterly Planning Increment cadence. Epics are reviewed, re-cut, or retired every quarter at a big-room planning event. No epic outlives its usefulness.</w:t>
      </w:r>
    </w:p>
    <w:p>
      <w:pPr>
        <w:pStyle w:val="Heading2"/>
        <w:spacing w:after="120" w:before="240"/>
      </w:pPr>
      <w:r>
        <w:rPr>
          <w:rFonts w:ascii="Calibri" w:cs="Calibri" w:eastAsia="Calibri" w:hAnsi="Calibri"/>
          <w:b/>
          <w:bCs/>
          <w:color w:val="1B5E7A"/>
          <w:sz w:val="28"/>
          <w:szCs w:val="28"/>
        </w:rPr>
        <w:t xml:space="preserve">4.2 Feature-level practices</w:t>
      </w:r>
    </w:p>
    <w:p>
      <w:pPr>
        <w:pStyle w:val="ListParagraph"/>
        <w:numPr>
          <w:ilvl w:val="0"/>
          <w:numId w:val="2"/>
        </w:numPr>
        <w:spacing w:after="60"/>
      </w:pPr>
      <w:r>
        <w:rPr>
          <w:rFonts w:ascii="Calibri" w:cs="Calibri" w:eastAsia="Calibri" w:hAnsi="Calibri"/>
          <w:sz w:val="22"/>
          <w:szCs w:val="22"/>
        </w:rPr>
        <w:t xml:space="preserve">Benefit Hypothesis (SAFe). “By [doing X] for [persona] we will achieve [measurable outcome] by [date].” Pairs the capability with the value commitment.</w:t>
      </w:r>
    </w:p>
    <w:p>
      <w:pPr>
        <w:pStyle w:val="ListParagraph"/>
        <w:numPr>
          <w:ilvl w:val="0"/>
          <w:numId w:val="2"/>
        </w:numPr>
        <w:spacing w:after="60"/>
      </w:pPr>
      <w:r>
        <w:rPr>
          <w:rFonts w:ascii="Calibri" w:cs="Calibri" w:eastAsia="Calibri" w:hAnsi="Calibri"/>
          <w:sz w:val="22"/>
          <w:szCs w:val="22"/>
        </w:rPr>
        <w:t xml:space="preserve">Minimum Marketable Feature (MMF). Smallest version that delivers real value to a user — ship it, learn, iterate. Stops feature gold-plating.</w:t>
      </w:r>
    </w:p>
    <w:p>
      <w:pPr>
        <w:pStyle w:val="ListParagraph"/>
        <w:numPr>
          <w:ilvl w:val="0"/>
          <w:numId w:val="2"/>
        </w:numPr>
        <w:spacing w:after="60"/>
      </w:pPr>
      <w:r>
        <w:rPr>
          <w:rFonts w:ascii="Calibri" w:cs="Calibri" w:eastAsia="Calibri" w:hAnsi="Calibri"/>
          <w:sz w:val="22"/>
          <w:szCs w:val="22"/>
        </w:rPr>
        <w:t xml:space="preserve">Gherkin acceptance criteria. Given / When / Then format. Testable by construction; integrates cleanly with BDD frameworks for automated conformance testing.</w:t>
      </w:r>
    </w:p>
    <w:p>
      <w:pPr>
        <w:pStyle w:val="ListParagraph"/>
        <w:numPr>
          <w:ilvl w:val="0"/>
          <w:numId w:val="2"/>
        </w:numPr>
        <w:spacing w:after="60"/>
      </w:pPr>
      <w:r>
        <w:rPr>
          <w:rFonts w:ascii="Calibri" w:cs="Calibri" w:eastAsia="Calibri" w:hAnsi="Calibri"/>
          <w:sz w:val="22"/>
          <w:szCs w:val="22"/>
        </w:rPr>
        <w:t xml:space="preserve">Feature flags / toggles. Decouple deploy from release. Safer rollouts, easy rollbacks, A/B-style validation when warranted.</w:t>
      </w:r>
    </w:p>
    <w:p>
      <w:pPr>
        <w:pStyle w:val="Heading2"/>
        <w:spacing w:after="120" w:before="240"/>
      </w:pPr>
      <w:r>
        <w:rPr>
          <w:rFonts w:ascii="Calibri" w:cs="Calibri" w:eastAsia="Calibri" w:hAnsi="Calibri"/>
          <w:b/>
          <w:bCs/>
          <w:color w:val="C9962E"/>
          <w:sz w:val="28"/>
          <w:szCs w:val="28"/>
        </w:rPr>
        <w:t xml:space="preserve">4.3 Story-level practices</w:t>
      </w:r>
    </w:p>
    <w:p>
      <w:pPr>
        <w:pStyle w:val="ListParagraph"/>
        <w:numPr>
          <w:ilvl w:val="0"/>
          <w:numId w:val="2"/>
        </w:numPr>
        <w:spacing w:after="60"/>
      </w:pPr>
      <w:r>
        <w:rPr>
          <w:rFonts w:ascii="Calibri" w:cs="Calibri" w:eastAsia="Calibri" w:hAnsi="Calibri"/>
          <w:sz w:val="22"/>
          <w:szCs w:val="22"/>
        </w:rPr>
        <w:t xml:space="preserve">INVEST criteria (Bill Wake / Mike Cohn). Independent · Negotiable · Valuable · Estimable · Small · Testable. The acid test for a sprint-ready story.</w:t>
      </w:r>
    </w:p>
    <w:p>
      <w:pPr>
        <w:pStyle w:val="ListParagraph"/>
        <w:numPr>
          <w:ilvl w:val="0"/>
          <w:numId w:val="2"/>
        </w:numPr>
        <w:spacing w:after="60"/>
      </w:pPr>
      <w:r>
        <w:rPr>
          <w:rFonts w:ascii="Calibri" w:cs="Calibri" w:eastAsia="Calibri" w:hAnsi="Calibri"/>
          <w:sz w:val="22"/>
          <w:szCs w:val="22"/>
        </w:rPr>
        <w:t xml:space="preserve">3 C's (Ron Jeffries). Card · Conversation · Confirmation. The story is a placeholder for a conversation — write enough to start it, not finish it.</w:t>
      </w:r>
    </w:p>
    <w:p>
      <w:pPr>
        <w:pStyle w:val="ListParagraph"/>
        <w:numPr>
          <w:ilvl w:val="0"/>
          <w:numId w:val="2"/>
        </w:numPr>
        <w:spacing w:after="60"/>
      </w:pPr>
      <w:r>
        <w:rPr>
          <w:rFonts w:ascii="Calibri" w:cs="Calibri" w:eastAsia="Calibri" w:hAnsi="Calibri"/>
          <w:sz w:val="22"/>
          <w:szCs w:val="22"/>
        </w:rPr>
        <w:t xml:space="preserve">Connextra format. “As a [persona], I want [capability], so that [outcome].” Keeps the user and the why visible in every story.</w:t>
      </w:r>
    </w:p>
    <w:p>
      <w:pPr>
        <w:pStyle w:val="ListParagraph"/>
        <w:numPr>
          <w:ilvl w:val="0"/>
          <w:numId w:val="2"/>
        </w:numPr>
        <w:spacing w:after="60"/>
      </w:pPr>
      <w:r>
        <w:rPr>
          <w:rFonts w:ascii="Calibri" w:cs="Calibri" w:eastAsia="Calibri" w:hAnsi="Calibri"/>
          <w:sz w:val="22"/>
          <w:szCs w:val="22"/>
        </w:rPr>
        <w:t xml:space="preserve">Vertical slicing. Each story delivers thin end-to-end value. Never a horizontal layer alone (e.g. “build the database table”) without the user-facing slice.</w:t>
      </w:r>
    </w:p>
    <w:p>
      <w:pPr>
        <w:pStyle w:val="ListParagraph"/>
        <w:numPr>
          <w:ilvl w:val="0"/>
          <w:numId w:val="2"/>
        </w:numPr>
        <w:spacing w:after="60"/>
      </w:pPr>
      <w:r>
        <w:rPr>
          <w:rFonts w:ascii="Calibri" w:cs="Calibri" w:eastAsia="Calibri" w:hAnsi="Calibri"/>
          <w:sz w:val="22"/>
          <w:szCs w:val="22"/>
        </w:rPr>
        <w:t xml:space="preserve">Planning Poker with Fibonacci sizing (Mike Cohn). Relative estimation by the squad — not effort hours assigned by leads. Fast, surfaces hidden complexity.</w:t>
      </w:r>
    </w:p>
    <w:p>
      <w:pPr>
        <w:pStyle w:val="ListParagraph"/>
        <w:numPr>
          <w:ilvl w:val="0"/>
          <w:numId w:val="2"/>
        </w:numPr>
        <w:spacing w:after="60"/>
      </w:pPr>
      <w:r>
        <w:rPr>
          <w:rFonts w:ascii="Calibri" w:cs="Calibri" w:eastAsia="Calibri" w:hAnsi="Calibri"/>
          <w:sz w:val="22"/>
          <w:szCs w:val="22"/>
        </w:rPr>
        <w:t xml:space="preserve">BDD (Behavior-Driven Development). Couples Gherkin ACs to automated tests. Acceptance criteria become living documentation.</w:t>
      </w:r>
    </w:p>
    <w:p>
      <w:pPr>
        <w:spacing w:after="100" w:before="160"/>
        <w:jc w:val="left"/>
      </w:pPr>
      <w:r>
        <w:rPr>
          <w:rFonts w:ascii="Calibri" w:cs="Calibri" w:eastAsia="Calibri" w:hAnsi="Calibri"/>
          <w:color w:val="6B7280"/>
        </w:rPr>
        <w:t xml:space="preserve">These practices are listed because they have stood up across thousands of teams and decades of agile delivery. We adopt them as starting points — not religiously — and adapt where the GSE context requires.</w:t>
      </w:r>
    </w:p>
    <w:p>
      <w:r>
        <w:br w:type="page"/>
      </w:r>
    </w:p>
    <w:p>
      <w:pPr>
        <w:pStyle w:val="Heading1"/>
        <w:spacing w:after="160" w:before="320"/>
      </w:pPr>
      <w:r>
        <w:rPr>
          <w:rFonts w:ascii="Calibri" w:cs="Calibri" w:eastAsia="Calibri" w:hAnsi="Calibri"/>
          <w:b/>
          <w:bCs/>
          <w:color w:val="0F2A4A"/>
          <w:sz w:val="36"/>
          <w:szCs w:val="36"/>
        </w:rPr>
        <w:t xml:space="preserve">5. Quality Checkpoints</w:t>
      </w:r>
    </w:p>
    <w:p>
      <w:pPr>
        <w:spacing w:after="100" w:before="0"/>
        <w:jc w:val="left"/>
      </w:pPr>
      <w:r>
        <w:rPr>
          <w:rFonts w:ascii="Calibri" w:cs="Calibri" w:eastAsia="Calibri" w:hAnsi="Calibri"/>
        </w:rPr>
        <w:t xml:space="preserve">Three moments to align — before the work begins. If a checkpoint is missed, the item simply waits for the next one. No drama. No blame. Refinement is the gift the team gives itself.</w:t>
      </w:r>
    </w:p>
    <w:p>
      <w:pPr>
        <w:pStyle w:val="Heading3"/>
        <w:spacing w:after="80" w:before="180"/>
      </w:pPr>
      <w:r>
        <w:rPr>
          <w:rFonts w:ascii="Calibri" w:cs="Calibri" w:eastAsia="Calibri" w:hAnsi="Calibri"/>
          <w:b/>
          <w:bCs/>
          <w:color w:val="0F2A4A"/>
          <w:sz w:val="24"/>
          <w:szCs w:val="24"/>
        </w:rPr>
        <w:t xml:space="preserve">Portfolio Review (EPIC level)</w:t>
      </w:r>
    </w:p>
    <w:p>
      <w:pPr>
        <w:pStyle w:val="ListParagraph"/>
        <w:numPr>
          <w:ilvl w:val="0"/>
          <w:numId w:val="2"/>
        </w:numPr>
        <w:spacing w:after="60"/>
      </w:pPr>
      <w:r>
        <w:rPr>
          <w:rFonts w:ascii="Calibri" w:cs="Calibri" w:eastAsia="Calibri" w:hAnsi="Calibri"/>
          <w:sz w:val="22"/>
          <w:szCs w:val="22"/>
        </w:rPr>
        <w:t xml:space="preserve">Cadence: Quarterly</w:t>
      </w:r>
    </w:p>
    <w:p>
      <w:pPr>
        <w:pStyle w:val="ListParagraph"/>
        <w:numPr>
          <w:ilvl w:val="0"/>
          <w:numId w:val="2"/>
        </w:numPr>
        <w:spacing w:after="60"/>
      </w:pPr>
      <w:r>
        <w:rPr>
          <w:rFonts w:ascii="Calibri" w:cs="Calibri" w:eastAsia="Calibri" w:hAnsi="Calibri"/>
          <w:sz w:val="22"/>
          <w:szCs w:val="22"/>
        </w:rPr>
        <w:t xml:space="preserve">Attendees: Business Sponsor, Head of Product, Finance, Risk</w:t>
      </w:r>
    </w:p>
    <w:p>
      <w:pPr>
        <w:pStyle w:val="ListParagraph"/>
        <w:numPr>
          <w:ilvl w:val="0"/>
          <w:numId w:val="2"/>
        </w:numPr>
        <w:spacing w:after="60"/>
      </w:pPr>
      <w:r>
        <w:rPr>
          <w:rFonts w:ascii="Calibri" w:cs="Calibri" w:eastAsia="Calibri" w:hAnsi="Calibri"/>
          <w:sz w:val="22"/>
          <w:szCs w:val="22"/>
        </w:rPr>
        <w:t xml:space="preserve">We agree on:</w:t>
      </w:r>
    </w:p>
    <w:p>
      <w:pPr>
        <w:spacing w:after="40"/>
        <w:ind w:left="1080"/>
      </w:pPr>
      <w:r>
        <w:rPr>
          <w:rFonts w:ascii="Calibri" w:cs="Calibri" w:eastAsia="Calibri" w:hAnsi="Calibri"/>
          <w:sz w:val="22"/>
          <w:szCs w:val="22"/>
        </w:rPr>
        <w:t xml:space="preserve">○ Outcome measurable?</w:t>
      </w:r>
    </w:p>
    <w:p>
      <w:pPr>
        <w:spacing w:after="40"/>
        <w:ind w:left="1080"/>
      </w:pPr>
      <w:r>
        <w:rPr>
          <w:rFonts w:ascii="Calibri" w:cs="Calibri" w:eastAsia="Calibri" w:hAnsi="Calibri"/>
          <w:sz w:val="22"/>
          <w:szCs w:val="22"/>
        </w:rPr>
        <w:t xml:space="preserve">○ Funding agreed?</w:t>
      </w:r>
    </w:p>
    <w:p>
      <w:pPr>
        <w:spacing w:after="40"/>
        <w:ind w:left="1080"/>
      </w:pPr>
      <w:r>
        <w:rPr>
          <w:rFonts w:ascii="Calibri" w:cs="Calibri" w:eastAsia="Calibri" w:hAnsi="Calibri"/>
          <w:sz w:val="22"/>
          <w:szCs w:val="22"/>
        </w:rPr>
        <w:t xml:space="preserve">○ LoB and lifecycle stages clear?</w:t>
      </w:r>
    </w:p>
    <w:p>
      <w:pPr>
        <w:spacing w:after="40"/>
        <w:ind w:left="1080"/>
      </w:pPr>
      <w:r>
        <w:rPr>
          <w:rFonts w:ascii="Calibri" w:cs="Calibri" w:eastAsia="Calibri" w:hAnsi="Calibri"/>
          <w:sz w:val="22"/>
          <w:szCs w:val="22"/>
        </w:rPr>
        <w:t xml:space="preserve">○ Major risks named?</w:t>
      </w:r>
    </w:p>
    <w:p>
      <w:pPr>
        <w:pStyle w:val="Heading3"/>
        <w:spacing w:after="80" w:before="180"/>
      </w:pPr>
      <w:r>
        <w:rPr>
          <w:rFonts w:ascii="Calibri" w:cs="Calibri" w:eastAsia="Calibri" w:hAnsi="Calibri"/>
          <w:b/>
          <w:bCs/>
          <w:color w:val="0F2A4A"/>
          <w:sz w:val="24"/>
          <w:szCs w:val="24"/>
        </w:rPr>
        <w:t xml:space="preserve">Program Refinement (FEATURE level)</w:t>
      </w:r>
    </w:p>
    <w:p>
      <w:pPr>
        <w:pStyle w:val="ListParagraph"/>
        <w:numPr>
          <w:ilvl w:val="0"/>
          <w:numId w:val="2"/>
        </w:numPr>
        <w:spacing w:after="60"/>
      </w:pPr>
      <w:r>
        <w:rPr>
          <w:rFonts w:ascii="Calibri" w:cs="Calibri" w:eastAsia="Calibri" w:hAnsi="Calibri"/>
          <w:sz w:val="22"/>
          <w:szCs w:val="22"/>
        </w:rPr>
        <w:t xml:space="preserve">Cadence: Bi-weekly</w:t>
      </w:r>
    </w:p>
    <w:p>
      <w:pPr>
        <w:pStyle w:val="ListParagraph"/>
        <w:numPr>
          <w:ilvl w:val="0"/>
          <w:numId w:val="2"/>
        </w:numPr>
        <w:spacing w:after="60"/>
      </w:pPr>
      <w:r>
        <w:rPr>
          <w:rFonts w:ascii="Calibri" w:cs="Calibri" w:eastAsia="Calibri" w:hAnsi="Calibri"/>
          <w:sz w:val="22"/>
          <w:szCs w:val="22"/>
        </w:rPr>
        <w:t xml:space="preserve">Attendees: Product Owner, Tech Lead, Senior Analyst, QA Lead</w:t>
      </w:r>
    </w:p>
    <w:p>
      <w:pPr>
        <w:pStyle w:val="ListParagraph"/>
        <w:numPr>
          <w:ilvl w:val="0"/>
          <w:numId w:val="2"/>
        </w:numPr>
        <w:spacing w:after="60"/>
      </w:pPr>
      <w:r>
        <w:rPr>
          <w:rFonts w:ascii="Calibri" w:cs="Calibri" w:eastAsia="Calibri" w:hAnsi="Calibri"/>
          <w:sz w:val="22"/>
          <w:szCs w:val="22"/>
        </w:rPr>
        <w:t xml:space="preserve">We agree on:</w:t>
      </w:r>
    </w:p>
    <w:p>
      <w:pPr>
        <w:spacing w:after="40"/>
        <w:ind w:left="1080"/>
      </w:pPr>
      <w:r>
        <w:rPr>
          <w:rFonts w:ascii="Calibri" w:cs="Calibri" w:eastAsia="Calibri" w:hAnsi="Calibri"/>
          <w:sz w:val="22"/>
          <w:szCs w:val="22"/>
        </w:rPr>
        <w:t xml:space="preserve">○ Capability stated in business language?</w:t>
      </w:r>
    </w:p>
    <w:p>
      <w:pPr>
        <w:spacing w:after="40"/>
        <w:ind w:left="1080"/>
      </w:pPr>
      <w:r>
        <w:rPr>
          <w:rFonts w:ascii="Calibri" w:cs="Calibri" w:eastAsia="Calibri" w:hAnsi="Calibri"/>
          <w:sz w:val="22"/>
          <w:szCs w:val="22"/>
        </w:rPr>
        <w:t xml:space="preserve">○ Persona named?</w:t>
      </w:r>
    </w:p>
    <w:p>
      <w:pPr>
        <w:spacing w:after="40"/>
        <w:ind w:left="1080"/>
      </w:pPr>
      <w:r>
        <w:rPr>
          <w:rFonts w:ascii="Calibri" w:cs="Calibri" w:eastAsia="Calibri" w:hAnsi="Calibri"/>
          <w:sz w:val="22"/>
          <w:szCs w:val="22"/>
        </w:rPr>
        <w:t xml:space="preserve">○ Acceptance criteria written?</w:t>
      </w:r>
    </w:p>
    <w:p>
      <w:pPr>
        <w:spacing w:after="40"/>
        <w:ind w:left="1080"/>
      </w:pPr>
      <w:r>
        <w:rPr>
          <w:rFonts w:ascii="Calibri" w:cs="Calibri" w:eastAsia="Calibri" w:hAnsi="Calibri"/>
          <w:sz w:val="22"/>
          <w:szCs w:val="22"/>
        </w:rPr>
        <w:t xml:space="preserve">○ Story map drafted?</w:t>
      </w:r>
    </w:p>
    <w:p>
      <w:pPr>
        <w:pStyle w:val="Heading3"/>
        <w:spacing w:after="80" w:before="180"/>
      </w:pPr>
      <w:r>
        <w:rPr>
          <w:rFonts w:ascii="Calibri" w:cs="Calibri" w:eastAsia="Calibri" w:hAnsi="Calibri"/>
          <w:b/>
          <w:bCs/>
          <w:color w:val="0F2A4A"/>
          <w:sz w:val="24"/>
          <w:szCs w:val="24"/>
        </w:rPr>
        <w:t xml:space="preserve">Three-Amigos (STORY level)</w:t>
      </w:r>
    </w:p>
    <w:p>
      <w:pPr>
        <w:pStyle w:val="ListParagraph"/>
        <w:numPr>
          <w:ilvl w:val="0"/>
          <w:numId w:val="2"/>
        </w:numPr>
        <w:spacing w:after="60"/>
      </w:pPr>
      <w:r>
        <w:rPr>
          <w:rFonts w:ascii="Calibri" w:cs="Calibri" w:eastAsia="Calibri" w:hAnsi="Calibri"/>
          <w:sz w:val="22"/>
          <w:szCs w:val="22"/>
        </w:rPr>
        <w:t xml:space="preserve">Cadence: Weekly</w:t>
      </w:r>
    </w:p>
    <w:p>
      <w:pPr>
        <w:pStyle w:val="ListParagraph"/>
        <w:numPr>
          <w:ilvl w:val="0"/>
          <w:numId w:val="2"/>
        </w:numPr>
        <w:spacing w:after="60"/>
      </w:pPr>
      <w:r>
        <w:rPr>
          <w:rFonts w:ascii="Calibri" w:cs="Calibri" w:eastAsia="Calibri" w:hAnsi="Calibri"/>
          <w:sz w:val="22"/>
          <w:szCs w:val="22"/>
        </w:rPr>
        <w:t xml:space="preserve">Attendees: PO, one Dev, one QA, Analyst</w:t>
      </w:r>
    </w:p>
    <w:p>
      <w:pPr>
        <w:pStyle w:val="ListParagraph"/>
        <w:numPr>
          <w:ilvl w:val="0"/>
          <w:numId w:val="2"/>
        </w:numPr>
        <w:spacing w:after="60"/>
      </w:pPr>
      <w:r>
        <w:rPr>
          <w:rFonts w:ascii="Calibri" w:cs="Calibri" w:eastAsia="Calibri" w:hAnsi="Calibri"/>
          <w:sz w:val="22"/>
          <w:szCs w:val="22"/>
        </w:rPr>
        <w:t xml:space="preserve">We agree on:</w:t>
      </w:r>
    </w:p>
    <w:p>
      <w:pPr>
        <w:spacing w:after="40"/>
        <w:ind w:left="1080"/>
      </w:pPr>
      <w:r>
        <w:rPr>
          <w:rFonts w:ascii="Calibri" w:cs="Calibri" w:eastAsia="Calibri" w:hAnsi="Calibri"/>
          <w:sz w:val="22"/>
          <w:szCs w:val="22"/>
        </w:rPr>
        <w:t xml:space="preserve">○ Source data accessible?</w:t>
      </w:r>
    </w:p>
    <w:p>
      <w:pPr>
        <w:spacing w:after="40"/>
        <w:ind w:left="1080"/>
      </w:pPr>
      <w:r>
        <w:rPr>
          <w:rFonts w:ascii="Calibri" w:cs="Calibri" w:eastAsia="Calibri" w:hAnsi="Calibri"/>
          <w:sz w:val="22"/>
          <w:szCs w:val="22"/>
        </w:rPr>
        <w:t xml:space="preserve">○ Business rules unambiguous?</w:t>
      </w:r>
    </w:p>
    <w:p>
      <w:pPr>
        <w:spacing w:after="40"/>
        <w:ind w:left="1080"/>
      </w:pPr>
      <w:r>
        <w:rPr>
          <w:rFonts w:ascii="Calibri" w:cs="Calibri" w:eastAsia="Calibri" w:hAnsi="Calibri"/>
          <w:sz w:val="22"/>
          <w:szCs w:val="22"/>
        </w:rPr>
        <w:t xml:space="preserve">○ ACs binary and testable?</w:t>
      </w:r>
    </w:p>
    <w:p>
      <w:pPr>
        <w:spacing w:after="40"/>
        <w:ind w:left="1080"/>
      </w:pPr>
      <w:r>
        <w:rPr>
          <w:rFonts w:ascii="Calibri" w:cs="Calibri" w:eastAsia="Calibri" w:hAnsi="Calibri"/>
          <w:sz w:val="22"/>
          <w:szCs w:val="22"/>
        </w:rPr>
        <w:t xml:space="preserve">○ Traceability tag set?</w:t>
      </w:r>
    </w:p>
    <w:p>
      <w:r>
        <w:br w:type="page"/>
      </w:r>
    </w:p>
    <w:p>
      <w:pPr>
        <w:pStyle w:val="Heading1"/>
        <w:spacing w:after="160" w:before="320"/>
      </w:pPr>
      <w:r>
        <w:rPr>
          <w:rFonts w:ascii="Calibri" w:cs="Calibri" w:eastAsia="Calibri" w:hAnsi="Calibri"/>
          <w:b/>
          <w:bCs/>
          <w:color w:val="0F2A4A"/>
          <w:sz w:val="36"/>
          <w:szCs w:val="36"/>
        </w:rPr>
        <w:t xml:space="preserve">6. Epic — Template, Ready, Done, Examples</w:t>
      </w:r>
    </w:p>
    <w:p>
      <w:pPr>
        <w:pStyle w:val="Heading2"/>
        <w:spacing w:after="120" w:before="240"/>
      </w:pPr>
      <w:r>
        <w:rPr>
          <w:rFonts w:ascii="Calibri" w:cs="Calibri" w:eastAsia="Calibri" w:hAnsi="Calibri"/>
          <w:b/>
          <w:bCs/>
          <w:color w:val="0F2A4A"/>
          <w:sz w:val="28"/>
          <w:szCs w:val="28"/>
        </w:rPr>
        <w:t xml:space="preserve">6.1 Epic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Title</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Outcome-led, not feature-led. “Same-Day Lender Commitments” not “AUS API Modernization.”</w:t>
            </w:r>
          </w:p>
        </w:tc>
      </w:tr>
      <w:tr>
        <w:tc>
          <w:tcPr>
            <w:tcW w:type="dxa" w:w="240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Strategic Outcome</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The measurable change. What is true after, that wasn’t true before.</w:t>
            </w:r>
          </w:p>
        </w:tc>
      </w:tr>
      <w:tr>
        <w:tc>
          <w:tcPr>
            <w:tcW w:type="dxa" w:w="240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Lines of Business</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Single Family · Multifamily · Capital Markets (any combination).</w:t>
            </w:r>
          </w:p>
        </w:tc>
      </w:tr>
      <w:tr>
        <w:tc>
          <w:tcPr>
            <w:tcW w:type="dxa" w:w="240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Lifecycle Stages</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Which of the 10 lifecycle stages the epic touches.</w:t>
            </w:r>
          </w:p>
        </w:tc>
      </w:tr>
      <w:tr>
        <w:tc>
          <w:tcPr>
            <w:tcW w:type="dxa" w:w="240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Business Sponsor</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Named accountable executive who funds and owns the outcome.</w:t>
            </w:r>
          </w:p>
        </w:tc>
      </w:tr>
      <w:tr>
        <w:tc>
          <w:tcPr>
            <w:tcW w:type="dxa" w:w="240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Success Metrics</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1–3 metrics with current baseline and target. Agreed with finance and risk.</w:t>
            </w:r>
          </w:p>
        </w:tc>
      </w:tr>
      <w:tr>
        <w:tc>
          <w:tcPr>
            <w:tcW w:type="dxa" w:w="240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Capacity Envelope</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Approximate quarters of effort and number of squads expected to contribute.</w:t>
            </w:r>
          </w:p>
        </w:tc>
      </w:tr>
      <w:tr>
        <w:tc>
          <w:tcPr>
            <w:tcW w:type="dxa" w:w="240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Major Milestones</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Quarter-level checkpoints we will measure against.</w:t>
            </w:r>
          </w:p>
        </w:tc>
      </w:tr>
      <w:tr>
        <w:tc>
          <w:tcPr>
            <w:tcW w:type="dxa" w:w="240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Cross-Team Dependencies</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Other epics, programs, or vendors that must coordinate.</w:t>
            </w:r>
          </w:p>
        </w:tc>
      </w:tr>
      <w:tr>
        <w:tc>
          <w:tcPr>
            <w:tcW w:type="dxa" w:w="240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Risks &amp; Mitigations</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Top 3 risks named upfront — surfaced, not hidden.</w:t>
            </w:r>
          </w:p>
        </w:tc>
      </w:tr>
    </w:tbl>
    <w:p>
      <w:pPr>
        <w:pStyle w:val="Heading2"/>
        <w:spacing w:after="120" w:before="240"/>
      </w:pPr>
      <w:r>
        <w:rPr>
          <w:rFonts w:ascii="Calibri" w:cs="Calibri" w:eastAsia="Calibri" w:hAnsi="Calibri"/>
          <w:b/>
          <w:bCs/>
          <w:color w:val="0F2A4A"/>
          <w:sz w:val="28"/>
          <w:szCs w:val="28"/>
        </w:rPr>
        <w:t xml:space="preserve">6.2 Epic Definition of Ready</w:t>
      </w:r>
    </w:p>
    <w:p>
      <w:pPr>
        <w:pStyle w:val="ListParagraph"/>
        <w:numPr>
          <w:ilvl w:val="0"/>
          <w:numId w:val="2"/>
        </w:numPr>
        <w:spacing w:after="60"/>
      </w:pPr>
      <w:r>
        <w:rPr>
          <w:rFonts w:ascii="Calibri" w:cs="Calibri" w:eastAsia="Calibri" w:hAnsi="Calibri"/>
          <w:sz w:val="22"/>
          <w:szCs w:val="22"/>
        </w:rPr>
        <w:t xml:space="preserve">Strategic outcome stated as a measurable change.</w:t>
      </w:r>
    </w:p>
    <w:p>
      <w:pPr>
        <w:pStyle w:val="ListParagraph"/>
        <w:numPr>
          <w:ilvl w:val="0"/>
          <w:numId w:val="2"/>
        </w:numPr>
        <w:spacing w:after="60"/>
      </w:pPr>
      <w:r>
        <w:rPr>
          <w:rFonts w:ascii="Calibri" w:cs="Calibri" w:eastAsia="Calibri" w:hAnsi="Calibri"/>
          <w:sz w:val="22"/>
          <w:szCs w:val="22"/>
        </w:rPr>
        <w:t xml:space="preserve">Business sponsor named and engaged.</w:t>
      </w:r>
    </w:p>
    <w:p>
      <w:pPr>
        <w:pStyle w:val="ListParagraph"/>
        <w:numPr>
          <w:ilvl w:val="0"/>
          <w:numId w:val="2"/>
        </w:numPr>
        <w:spacing w:after="60"/>
      </w:pPr>
      <w:r>
        <w:rPr>
          <w:rFonts w:ascii="Calibri" w:cs="Calibri" w:eastAsia="Calibri" w:hAnsi="Calibri"/>
          <w:sz w:val="22"/>
          <w:szCs w:val="22"/>
        </w:rPr>
        <w:t xml:space="preserve">Lines of business and lifecycle stages identified.</w:t>
      </w:r>
    </w:p>
    <w:p>
      <w:pPr>
        <w:pStyle w:val="ListParagraph"/>
        <w:numPr>
          <w:ilvl w:val="0"/>
          <w:numId w:val="2"/>
        </w:numPr>
        <w:spacing w:after="60"/>
      </w:pPr>
      <w:r>
        <w:rPr>
          <w:rFonts w:ascii="Calibri" w:cs="Calibri" w:eastAsia="Calibri" w:hAnsi="Calibri"/>
          <w:sz w:val="22"/>
          <w:szCs w:val="22"/>
        </w:rPr>
        <w:t xml:space="preserve">Success metrics agreed with finance and risk.</w:t>
      </w:r>
    </w:p>
    <w:p>
      <w:pPr>
        <w:pStyle w:val="ListParagraph"/>
        <w:numPr>
          <w:ilvl w:val="0"/>
          <w:numId w:val="2"/>
        </w:numPr>
        <w:spacing w:after="60"/>
      </w:pPr>
      <w:r>
        <w:rPr>
          <w:rFonts w:ascii="Calibri" w:cs="Calibri" w:eastAsia="Calibri" w:hAnsi="Calibri"/>
          <w:sz w:val="22"/>
          <w:szCs w:val="22"/>
        </w:rPr>
        <w:t xml:space="preserve">Capacity envelope confirmed at portfolio review.</w:t>
      </w:r>
    </w:p>
    <w:p>
      <w:pPr>
        <w:pStyle w:val="ListParagraph"/>
        <w:numPr>
          <w:ilvl w:val="0"/>
          <w:numId w:val="2"/>
        </w:numPr>
        <w:spacing w:after="60"/>
      </w:pPr>
      <w:r>
        <w:rPr>
          <w:rFonts w:ascii="Calibri" w:cs="Calibri" w:eastAsia="Calibri" w:hAnsi="Calibri"/>
          <w:sz w:val="22"/>
          <w:szCs w:val="22"/>
        </w:rPr>
        <w:t xml:space="preserve">Initial decomposition into features begun.</w:t>
      </w:r>
    </w:p>
    <w:p>
      <w:pPr>
        <w:pStyle w:val="ListParagraph"/>
        <w:numPr>
          <w:ilvl w:val="0"/>
          <w:numId w:val="2"/>
        </w:numPr>
        <w:spacing w:after="60"/>
      </w:pPr>
      <w:r>
        <w:rPr>
          <w:rFonts w:ascii="Calibri" w:cs="Calibri" w:eastAsia="Calibri" w:hAnsi="Calibri"/>
          <w:sz w:val="22"/>
          <w:szCs w:val="22"/>
        </w:rPr>
        <w:t xml:space="preserve">Top 3 risks surfaced with named owners.</w:t>
      </w:r>
    </w:p>
    <w:p>
      <w:pPr>
        <w:pStyle w:val="Heading2"/>
        <w:spacing w:after="120" w:before="240"/>
      </w:pPr>
      <w:r>
        <w:rPr>
          <w:rFonts w:ascii="Calibri" w:cs="Calibri" w:eastAsia="Calibri" w:hAnsi="Calibri"/>
          <w:b/>
          <w:bCs/>
          <w:color w:val="0F2A4A"/>
          <w:sz w:val="28"/>
          <w:szCs w:val="28"/>
        </w:rPr>
        <w:t xml:space="preserve">6.3 Epic Definition of Done</w:t>
      </w:r>
    </w:p>
    <w:p>
      <w:pPr>
        <w:pStyle w:val="ListParagraph"/>
        <w:numPr>
          <w:ilvl w:val="0"/>
          <w:numId w:val="2"/>
        </w:numPr>
        <w:spacing w:after="60"/>
      </w:pPr>
      <w:r>
        <w:rPr>
          <w:rFonts w:ascii="Calibri" w:cs="Calibri" w:eastAsia="Calibri" w:hAnsi="Calibri"/>
          <w:sz w:val="22"/>
          <w:szCs w:val="22"/>
        </w:rPr>
        <w:t xml:space="preserve">Outcome metric measured against baseline.</w:t>
      </w:r>
    </w:p>
    <w:p>
      <w:pPr>
        <w:pStyle w:val="ListParagraph"/>
        <w:numPr>
          <w:ilvl w:val="0"/>
          <w:numId w:val="2"/>
        </w:numPr>
        <w:spacing w:after="60"/>
      </w:pPr>
      <w:r>
        <w:rPr>
          <w:rFonts w:ascii="Calibri" w:cs="Calibri" w:eastAsia="Calibri" w:hAnsi="Calibri"/>
          <w:sz w:val="22"/>
          <w:szCs w:val="22"/>
        </w:rPr>
        <w:t xml:space="preserve">All features delivered or descoped with rationale.</w:t>
      </w:r>
    </w:p>
    <w:p>
      <w:pPr>
        <w:pStyle w:val="ListParagraph"/>
        <w:numPr>
          <w:ilvl w:val="0"/>
          <w:numId w:val="2"/>
        </w:numPr>
        <w:spacing w:after="60"/>
      </w:pPr>
      <w:r>
        <w:rPr>
          <w:rFonts w:ascii="Calibri" w:cs="Calibri" w:eastAsia="Calibri" w:hAnsi="Calibri"/>
          <w:sz w:val="22"/>
          <w:szCs w:val="22"/>
        </w:rPr>
        <w:t xml:space="preserve">Business sponsor confirms value realized.</w:t>
      </w:r>
    </w:p>
    <w:p>
      <w:pPr>
        <w:pStyle w:val="ListParagraph"/>
        <w:numPr>
          <w:ilvl w:val="0"/>
          <w:numId w:val="2"/>
        </w:numPr>
        <w:spacing w:after="60"/>
      </w:pPr>
      <w:r>
        <w:rPr>
          <w:rFonts w:ascii="Calibri" w:cs="Calibri" w:eastAsia="Calibri" w:hAnsi="Calibri"/>
          <w:sz w:val="22"/>
          <w:szCs w:val="22"/>
        </w:rPr>
        <w:t xml:space="preserve">Retrospective complete; learnings captured in the playbook.</w:t>
      </w:r>
    </w:p>
    <w:p>
      <w:pPr>
        <w:pStyle w:val="ListParagraph"/>
        <w:numPr>
          <w:ilvl w:val="0"/>
          <w:numId w:val="2"/>
        </w:numPr>
        <w:spacing w:after="60"/>
      </w:pPr>
      <w:r>
        <w:rPr>
          <w:rFonts w:ascii="Calibri" w:cs="Calibri" w:eastAsia="Calibri" w:hAnsi="Calibri"/>
          <w:sz w:val="22"/>
          <w:szCs w:val="22"/>
        </w:rPr>
        <w:t xml:space="preserve">Run-state ownership transferred to operating team.</w:t>
      </w:r>
    </w:p>
    <w:p>
      <w:pPr>
        <w:pStyle w:val="Heading2"/>
        <w:spacing w:after="120" w:before="240"/>
      </w:pPr>
      <w:r>
        <w:rPr>
          <w:rFonts w:ascii="Calibri" w:cs="Calibri" w:eastAsia="Calibri" w:hAnsi="Calibri"/>
          <w:b/>
          <w:bCs/>
          <w:color w:val="0F2A4A"/>
          <w:sz w:val="28"/>
          <w:szCs w:val="28"/>
        </w:rPr>
        <w:t xml:space="preserve">6.4 Epic examples — one per LoB</w:t>
      </w:r>
    </w:p>
    <w:p>
      <w:pPr>
        <w:spacing w:after="80" w:before="200"/>
      </w:pPr>
      <w:r>
        <w:rPr>
          <w:rFonts w:ascii="Calibri" w:cs="Calibri" w:eastAsia="Calibri" w:hAnsi="Calibri"/>
          <w:b/>
          <w:bCs/>
          <w:color w:val="2C7A7B"/>
          <w:spacing w:val="60"/>
          <w:sz w:val="22"/>
          <w:szCs w:val="22"/>
        </w:rPr>
        <w:t xml:space="preserve">SINGLE FAMILY</w:t>
      </w:r>
    </w:p>
    <w:p>
      <w:pPr>
        <w:spacing w:after="80"/>
      </w:pPr>
      <w:r>
        <w:rPr>
          <w:rFonts w:ascii="Calibri" w:cs="Calibri" w:eastAsia="Calibri" w:hAnsi="Calibri"/>
          <w:b/>
          <w:bCs/>
          <w:color w:val="0F2A4A"/>
          <w:sz w:val="28"/>
          <w:szCs w:val="28"/>
        </w:rPr>
        <w:t xml:space="preserve">Same-Day Lender Commitments for Conforming Loans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6DCE4" w:sz="4"/>
              <w:left w:val="single" w:color="D6DCE4" w:sz="4"/>
              <w:bottom w:val="single" w:color="D6DCE4" w:sz="4"/>
              <w:right w:val="single" w:color="D6DCE4" w:sz="4"/>
            </w:tcBorders>
            <w:shd w:fill="2C7A7B"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Outcome</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80% of conforming SF loans receive a lender commitment same-day, up from 35% baseline.</w:t>
            </w:r>
          </w:p>
        </w:tc>
      </w:tr>
      <w:tr>
        <w:tc>
          <w:tcPr>
            <w:tcW w:type="dxa" w:w="2400"/>
            <w:tcBorders>
              <w:top w:val="single" w:color="D6DCE4" w:sz="4"/>
              <w:left w:val="single" w:color="D6DCE4" w:sz="4"/>
              <w:bottom w:val="single" w:color="D6DCE4" w:sz="4"/>
              <w:right w:val="single" w:color="D6DCE4" w:sz="4"/>
            </w:tcBorders>
            <w:shd w:fill="2C7A7B"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Lifecycle Stages</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Acquisition → Underwriting → Commitments</w:t>
            </w:r>
          </w:p>
        </w:tc>
      </w:tr>
      <w:tr>
        <w:tc>
          <w:tcPr>
            <w:tcW w:type="dxa" w:w="2400"/>
            <w:tcBorders>
              <w:top w:val="single" w:color="D6DCE4" w:sz="4"/>
              <w:left w:val="single" w:color="D6DCE4" w:sz="4"/>
              <w:bottom w:val="single" w:color="D6DCE4" w:sz="4"/>
              <w:right w:val="single" w:color="D6DCE4" w:sz="4"/>
            </w:tcBorders>
            <w:shd w:fill="2C7A7B"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Sponsor</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SVP, SF Acquisitions</w:t>
            </w:r>
          </w:p>
        </w:tc>
      </w:tr>
      <w:tr>
        <w:tc>
          <w:tcPr>
            <w:tcW w:type="dxa" w:w="2400"/>
            <w:tcBorders>
              <w:top w:val="single" w:color="D6DCE4" w:sz="4"/>
              <w:left w:val="single" w:color="D6DCE4" w:sz="4"/>
              <w:bottom w:val="single" w:color="D6DCE4" w:sz="4"/>
              <w:right w:val="single" w:color="D6DCE4" w:sz="4"/>
            </w:tcBorders>
            <w:shd w:fill="2C7A7B"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Success Metrics</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 same-day commits · Lender NPS · Manual review volume</w:t>
            </w:r>
          </w:p>
        </w:tc>
      </w:tr>
    </w:tbl>
    <w:p>
      <w:pPr>
        <w:spacing w:after="80" w:before="200"/>
      </w:pPr>
      <w:r>
        <w:rPr>
          <w:rFonts w:ascii="Calibri" w:cs="Calibri" w:eastAsia="Calibri" w:hAnsi="Calibri"/>
          <w:b/>
          <w:bCs/>
          <w:color w:val="B7791F"/>
          <w:spacing w:val="60"/>
          <w:sz w:val="22"/>
          <w:szCs w:val="22"/>
        </w:rPr>
        <w:t xml:space="preserve">MULTIFAMILY</w:t>
      </w:r>
    </w:p>
    <w:p>
      <w:pPr>
        <w:spacing w:after="80"/>
      </w:pPr>
      <w:r>
        <w:rPr>
          <w:rFonts w:ascii="Calibri" w:cs="Calibri" w:eastAsia="Calibri" w:hAnsi="Calibri"/>
          <w:b/>
          <w:bCs/>
          <w:color w:val="0F2A4A"/>
          <w:sz w:val="28"/>
          <w:szCs w:val="28"/>
        </w:rPr>
        <w:t xml:space="preserve">Unified MF Servicing Visibility Across Sub-Servicers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6DCE4" w:sz="4"/>
              <w:left w:val="single" w:color="D6DCE4" w:sz="4"/>
              <w:bottom w:val="single" w:color="D6DCE4" w:sz="4"/>
              <w:right w:val="single" w:color="D6DCE4" w:sz="4"/>
            </w:tcBorders>
            <w:shd w:fill="B7791F"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Outcome</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Single source of truth for MF loan performance refreshed within 24h of sub-servicer activity for 100% of the portfolio.</w:t>
            </w:r>
          </w:p>
        </w:tc>
      </w:tr>
      <w:tr>
        <w:tc>
          <w:tcPr>
            <w:tcW w:type="dxa" w:w="2400"/>
            <w:tcBorders>
              <w:top w:val="single" w:color="D6DCE4" w:sz="4"/>
              <w:left w:val="single" w:color="D6DCE4" w:sz="4"/>
              <w:bottom w:val="single" w:color="D6DCE4" w:sz="4"/>
              <w:right w:val="single" w:color="D6DCE4" w:sz="4"/>
            </w:tcBorders>
            <w:shd w:fill="B7791F"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Lifecycle Stages</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Servicing → Risk Reporting</w:t>
            </w:r>
          </w:p>
        </w:tc>
      </w:tr>
      <w:tr>
        <w:tc>
          <w:tcPr>
            <w:tcW w:type="dxa" w:w="2400"/>
            <w:tcBorders>
              <w:top w:val="single" w:color="D6DCE4" w:sz="4"/>
              <w:left w:val="single" w:color="D6DCE4" w:sz="4"/>
              <w:bottom w:val="single" w:color="D6DCE4" w:sz="4"/>
              <w:right w:val="single" w:color="D6DCE4" w:sz="4"/>
            </w:tcBorders>
            <w:shd w:fill="B7791F"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Sponsor</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VP, MF Asset Management</w:t>
            </w:r>
          </w:p>
        </w:tc>
      </w:tr>
      <w:tr>
        <w:tc>
          <w:tcPr>
            <w:tcW w:type="dxa" w:w="2400"/>
            <w:tcBorders>
              <w:top w:val="single" w:color="D6DCE4" w:sz="4"/>
              <w:left w:val="single" w:color="D6DCE4" w:sz="4"/>
              <w:bottom w:val="single" w:color="D6DCE4" w:sz="4"/>
              <w:right w:val="single" w:color="D6DCE4" w:sz="4"/>
            </w:tcBorders>
            <w:shd w:fill="B7791F"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Success Metrics</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Data freshness SLA · Sub-servicer onboarding cycle time · Exception rate</w:t>
            </w:r>
          </w:p>
        </w:tc>
      </w:tr>
    </w:tbl>
    <w:p>
      <w:pPr>
        <w:spacing w:after="80" w:before="200"/>
      </w:pPr>
      <w:r>
        <w:rPr>
          <w:rFonts w:ascii="Calibri" w:cs="Calibri" w:eastAsia="Calibri" w:hAnsi="Calibri"/>
          <w:b/>
          <w:bCs/>
          <w:color w:val="6B46C1"/>
          <w:spacing w:val="60"/>
          <w:sz w:val="22"/>
          <w:szCs w:val="22"/>
        </w:rPr>
        <w:t xml:space="preserve">CAPITAL MARKETS</w:t>
      </w:r>
    </w:p>
    <w:p>
      <w:pPr>
        <w:spacing w:after="80"/>
      </w:pPr>
      <w:r>
        <w:rPr>
          <w:rFonts w:ascii="Calibri" w:cs="Calibri" w:eastAsia="Calibri" w:hAnsi="Calibri"/>
          <w:b/>
          <w:bCs/>
          <w:color w:val="0F2A4A"/>
          <w:sz w:val="28"/>
          <w:szCs w:val="28"/>
        </w:rPr>
        <w:t xml:space="preserve">T+0 Settlement for Specified MBS Pools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6DCE4" w:sz="4"/>
              <w:left w:val="single" w:color="D6DCE4" w:sz="4"/>
              <w:bottom w:val="single" w:color="D6DCE4" w:sz="4"/>
              <w:right w:val="single" w:color="D6DCE4" w:sz="4"/>
            </w:tcBorders>
            <w:shd w:fill="6B46C1"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Outcome</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Enable T+0 settlement on 50% of specified pool trades, currently 0%.</w:t>
            </w:r>
          </w:p>
        </w:tc>
      </w:tr>
      <w:tr>
        <w:tc>
          <w:tcPr>
            <w:tcW w:type="dxa" w:w="2400"/>
            <w:tcBorders>
              <w:top w:val="single" w:color="D6DCE4" w:sz="4"/>
              <w:left w:val="single" w:color="D6DCE4" w:sz="4"/>
              <w:bottom w:val="single" w:color="D6DCE4" w:sz="4"/>
              <w:right w:val="single" w:color="D6DCE4" w:sz="4"/>
            </w:tcBorders>
            <w:shd w:fill="6B46C1"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Lifecycle Stages</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Securitization → Investor Reporting</w:t>
            </w:r>
          </w:p>
        </w:tc>
      </w:tr>
      <w:tr>
        <w:tc>
          <w:tcPr>
            <w:tcW w:type="dxa" w:w="2400"/>
            <w:tcBorders>
              <w:top w:val="single" w:color="D6DCE4" w:sz="4"/>
              <w:left w:val="single" w:color="D6DCE4" w:sz="4"/>
              <w:bottom w:val="single" w:color="D6DCE4" w:sz="4"/>
              <w:right w:val="single" w:color="D6DCE4" w:sz="4"/>
            </w:tcBorders>
            <w:shd w:fill="6B46C1"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Sponsor</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MD, Securitization</w:t>
            </w:r>
          </w:p>
        </w:tc>
      </w:tr>
      <w:tr>
        <w:tc>
          <w:tcPr>
            <w:tcW w:type="dxa" w:w="2400"/>
            <w:tcBorders>
              <w:top w:val="single" w:color="D6DCE4" w:sz="4"/>
              <w:left w:val="single" w:color="D6DCE4" w:sz="4"/>
              <w:bottom w:val="single" w:color="D6DCE4" w:sz="4"/>
              <w:right w:val="single" w:color="D6DCE4" w:sz="4"/>
            </w:tcBorders>
            <w:shd w:fill="6B46C1"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Success Metrics</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 T+0 settlement · Settlement fail rate · Dealer satisfaction</w:t>
            </w:r>
          </w:p>
        </w:tc>
      </w:tr>
    </w:tbl>
    <w:p>
      <w:r>
        <w:br w:type="page"/>
      </w:r>
    </w:p>
    <w:p>
      <w:pPr>
        <w:pStyle w:val="Heading1"/>
        <w:spacing w:after="160" w:before="320"/>
      </w:pPr>
      <w:r>
        <w:rPr>
          <w:rFonts w:ascii="Calibri" w:cs="Calibri" w:eastAsia="Calibri" w:hAnsi="Calibri"/>
          <w:b/>
          <w:bCs/>
          <w:color w:val="0F2A4A"/>
          <w:sz w:val="36"/>
          <w:szCs w:val="36"/>
        </w:rPr>
        <w:t xml:space="preserve">7. Feature — Template, Ready, Done, Examples</w:t>
      </w:r>
    </w:p>
    <w:p>
      <w:pPr>
        <w:pStyle w:val="Heading2"/>
        <w:spacing w:after="120" w:before="240"/>
      </w:pPr>
      <w:r>
        <w:rPr>
          <w:rFonts w:ascii="Calibri" w:cs="Calibri" w:eastAsia="Calibri" w:hAnsi="Calibri"/>
          <w:b/>
          <w:bCs/>
          <w:color w:val="1B5E7A"/>
          <w:sz w:val="28"/>
          <w:szCs w:val="28"/>
        </w:rPr>
        <w:t xml:space="preserve">7.1 Feature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6DCE4" w:sz="4"/>
              <w:left w:val="single" w:color="D6DCE4" w:sz="4"/>
              <w:bottom w:val="single" w:color="D6DCE4" w:sz="4"/>
              <w:right w:val="single" w:color="D6DCE4" w:sz="4"/>
            </w:tcBorders>
            <w:shd w:fill="1B5E7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Title</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Capability-led. “Real-Time AUS Decision API.”</w:t>
            </w:r>
          </w:p>
        </w:tc>
      </w:tr>
      <w:tr>
        <w:tc>
          <w:tcPr>
            <w:tcW w:type="dxa" w:w="2400"/>
            <w:tcBorders>
              <w:top w:val="single" w:color="D6DCE4" w:sz="4"/>
              <w:left w:val="single" w:color="D6DCE4" w:sz="4"/>
              <w:bottom w:val="single" w:color="D6DCE4" w:sz="4"/>
              <w:right w:val="single" w:color="D6DCE4" w:sz="4"/>
            </w:tcBorders>
            <w:shd w:fill="1B5E7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Capability Statement</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One sentence: “This feature enables [persona] to [do X] so that [outcome].”</w:t>
            </w:r>
          </w:p>
        </w:tc>
      </w:tr>
      <w:tr>
        <w:tc>
          <w:tcPr>
            <w:tcW w:type="dxa" w:w="2400"/>
            <w:tcBorders>
              <w:top w:val="single" w:color="D6DCE4" w:sz="4"/>
              <w:left w:val="single" w:color="D6DCE4" w:sz="4"/>
              <w:bottom w:val="single" w:color="D6DCE4" w:sz="4"/>
              <w:right w:val="single" w:color="D6DCE4" w:sz="4"/>
            </w:tcBorders>
            <w:shd w:fill="1B5E7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Parent Epic</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Linked. Features without an epic are flagged for portfolio review.</w:t>
            </w:r>
          </w:p>
        </w:tc>
      </w:tr>
      <w:tr>
        <w:tc>
          <w:tcPr>
            <w:tcW w:type="dxa" w:w="2400"/>
            <w:tcBorders>
              <w:top w:val="single" w:color="D6DCE4" w:sz="4"/>
              <w:left w:val="single" w:color="D6DCE4" w:sz="4"/>
              <w:bottom w:val="single" w:color="D6DCE4" w:sz="4"/>
              <w:right w:val="single" w:color="D6DCE4" w:sz="4"/>
            </w:tcBorders>
            <w:shd w:fill="1B5E7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User / Persona</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Lender ops · Asset manager · Trader · Investor · Internal analyst.</w:t>
            </w:r>
          </w:p>
        </w:tc>
      </w:tr>
      <w:tr>
        <w:tc>
          <w:tcPr>
            <w:tcW w:type="dxa" w:w="2400"/>
            <w:tcBorders>
              <w:top w:val="single" w:color="D6DCE4" w:sz="4"/>
              <w:left w:val="single" w:color="D6DCE4" w:sz="4"/>
              <w:bottom w:val="single" w:color="D6DCE4" w:sz="4"/>
              <w:right w:val="single" w:color="D6DCE4" w:sz="4"/>
            </w:tcBorders>
            <w:shd w:fill="1B5E7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Acceptance Criteria</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3–5 feature-level ACs that prove the capability is real, not just code.</w:t>
            </w:r>
          </w:p>
        </w:tc>
      </w:tr>
      <w:tr>
        <w:tc>
          <w:tcPr>
            <w:tcW w:type="dxa" w:w="2400"/>
            <w:tcBorders>
              <w:top w:val="single" w:color="D6DCE4" w:sz="4"/>
              <w:left w:val="single" w:color="D6DCE4" w:sz="4"/>
              <w:bottom w:val="single" w:color="D6DCE4" w:sz="4"/>
              <w:right w:val="single" w:color="D6DCE4" w:sz="4"/>
            </w:tcBorders>
            <w:shd w:fill="1B5E7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Story Map</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High-level list of constituent stories. Proves the feature is decomposable.</w:t>
            </w:r>
          </w:p>
        </w:tc>
      </w:tr>
      <w:tr>
        <w:tc>
          <w:tcPr>
            <w:tcW w:type="dxa" w:w="2400"/>
            <w:tcBorders>
              <w:top w:val="single" w:color="D6DCE4" w:sz="4"/>
              <w:left w:val="single" w:color="D6DCE4" w:sz="4"/>
              <w:bottom w:val="single" w:color="D6DCE4" w:sz="4"/>
              <w:right w:val="single" w:color="D6DCE4" w:sz="4"/>
            </w:tcBorders>
            <w:shd w:fill="1B5E7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Cross-Team Dependencies</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Other squads, vendors, downstream consumers.</w:t>
            </w:r>
          </w:p>
        </w:tc>
      </w:tr>
      <w:tr>
        <w:tc>
          <w:tcPr>
            <w:tcW w:type="dxa" w:w="2400"/>
            <w:tcBorders>
              <w:top w:val="single" w:color="D6DCE4" w:sz="4"/>
              <w:left w:val="single" w:color="D6DCE4" w:sz="4"/>
              <w:bottom w:val="single" w:color="D6DCE4" w:sz="4"/>
              <w:right w:val="single" w:color="D6DCE4" w:sz="4"/>
            </w:tcBorders>
            <w:shd w:fill="1B5E7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Non-Functionals</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Performance, audit, compliance, observability requirements.</w:t>
            </w:r>
          </w:p>
        </w:tc>
      </w:tr>
      <w:tr>
        <w:tc>
          <w:tcPr>
            <w:tcW w:type="dxa" w:w="2400"/>
            <w:tcBorders>
              <w:top w:val="single" w:color="D6DCE4" w:sz="4"/>
              <w:left w:val="single" w:color="D6DCE4" w:sz="4"/>
              <w:bottom w:val="single" w:color="D6DCE4" w:sz="4"/>
              <w:right w:val="single" w:color="D6DCE4" w:sz="4"/>
            </w:tcBorders>
            <w:shd w:fill="1B5E7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Out of Scope</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What this feature explicitly does not do — prevents scope creep mid-flight.</w:t>
            </w:r>
          </w:p>
        </w:tc>
      </w:tr>
    </w:tbl>
    <w:p>
      <w:pPr>
        <w:pStyle w:val="Heading2"/>
        <w:spacing w:after="120" w:before="240"/>
      </w:pPr>
      <w:r>
        <w:rPr>
          <w:rFonts w:ascii="Calibri" w:cs="Calibri" w:eastAsia="Calibri" w:hAnsi="Calibri"/>
          <w:b/>
          <w:bCs/>
          <w:color w:val="1B5E7A"/>
          <w:sz w:val="28"/>
          <w:szCs w:val="28"/>
        </w:rPr>
        <w:t xml:space="preserve">7.2 Feature Definition of Ready</w:t>
      </w:r>
    </w:p>
    <w:p>
      <w:pPr>
        <w:pStyle w:val="ListParagraph"/>
        <w:numPr>
          <w:ilvl w:val="0"/>
          <w:numId w:val="2"/>
        </w:numPr>
        <w:spacing w:after="60"/>
      </w:pPr>
      <w:r>
        <w:rPr>
          <w:rFonts w:ascii="Calibri" w:cs="Calibri" w:eastAsia="Calibri" w:hAnsi="Calibri"/>
          <w:sz w:val="22"/>
          <w:szCs w:val="22"/>
        </w:rPr>
        <w:t xml:space="preserve">Capability articulated in business language.</w:t>
      </w:r>
    </w:p>
    <w:p>
      <w:pPr>
        <w:pStyle w:val="ListParagraph"/>
        <w:numPr>
          <w:ilvl w:val="0"/>
          <w:numId w:val="2"/>
        </w:numPr>
        <w:spacing w:after="60"/>
      </w:pPr>
      <w:r>
        <w:rPr>
          <w:rFonts w:ascii="Calibri" w:cs="Calibri" w:eastAsia="Calibri" w:hAnsi="Calibri"/>
          <w:sz w:val="22"/>
          <w:szCs w:val="22"/>
        </w:rPr>
        <w:t xml:space="preserve">Linked to a parent epic with a clear contribution.</w:t>
      </w:r>
    </w:p>
    <w:p>
      <w:pPr>
        <w:pStyle w:val="ListParagraph"/>
        <w:numPr>
          <w:ilvl w:val="0"/>
          <w:numId w:val="2"/>
        </w:numPr>
        <w:spacing w:after="60"/>
      </w:pPr>
      <w:r>
        <w:rPr>
          <w:rFonts w:ascii="Calibri" w:cs="Calibri" w:eastAsia="Calibri" w:hAnsi="Calibri"/>
          <w:sz w:val="22"/>
          <w:szCs w:val="22"/>
        </w:rPr>
        <w:t xml:space="preserve">Persona / user named.</w:t>
      </w:r>
    </w:p>
    <w:p>
      <w:pPr>
        <w:pStyle w:val="ListParagraph"/>
        <w:numPr>
          <w:ilvl w:val="0"/>
          <w:numId w:val="2"/>
        </w:numPr>
        <w:spacing w:after="60"/>
      </w:pPr>
      <w:r>
        <w:rPr>
          <w:rFonts w:ascii="Calibri" w:cs="Calibri" w:eastAsia="Calibri" w:hAnsi="Calibri"/>
          <w:sz w:val="22"/>
          <w:szCs w:val="22"/>
        </w:rPr>
        <w:t xml:space="preserve">3–5 acceptance criteria written and agreed.</w:t>
      </w:r>
    </w:p>
    <w:p>
      <w:pPr>
        <w:pStyle w:val="ListParagraph"/>
        <w:numPr>
          <w:ilvl w:val="0"/>
          <w:numId w:val="2"/>
        </w:numPr>
        <w:spacing w:after="60"/>
      </w:pPr>
      <w:r>
        <w:rPr>
          <w:rFonts w:ascii="Calibri" w:cs="Calibri" w:eastAsia="Calibri" w:hAnsi="Calibri"/>
          <w:sz w:val="22"/>
          <w:szCs w:val="22"/>
        </w:rPr>
        <w:t xml:space="preserve">Decomposed into a story map (titles + sequence).</w:t>
      </w:r>
    </w:p>
    <w:p>
      <w:pPr>
        <w:pStyle w:val="ListParagraph"/>
        <w:numPr>
          <w:ilvl w:val="0"/>
          <w:numId w:val="2"/>
        </w:numPr>
        <w:spacing w:after="60"/>
      </w:pPr>
      <w:r>
        <w:rPr>
          <w:rFonts w:ascii="Calibri" w:cs="Calibri" w:eastAsia="Calibri" w:hAnsi="Calibri"/>
          <w:sz w:val="22"/>
          <w:szCs w:val="22"/>
        </w:rPr>
        <w:t xml:space="preserve">Cross-team dependencies surfaced and confirmed.</w:t>
      </w:r>
    </w:p>
    <w:p>
      <w:pPr>
        <w:pStyle w:val="ListParagraph"/>
        <w:numPr>
          <w:ilvl w:val="0"/>
          <w:numId w:val="2"/>
        </w:numPr>
        <w:spacing w:after="60"/>
      </w:pPr>
      <w:r>
        <w:rPr>
          <w:rFonts w:ascii="Calibri" w:cs="Calibri" w:eastAsia="Calibri" w:hAnsi="Calibri"/>
          <w:sz w:val="22"/>
          <w:szCs w:val="22"/>
        </w:rPr>
        <w:t xml:space="preserve">Non-functional requirements identified.</w:t>
      </w:r>
    </w:p>
    <w:p>
      <w:pPr>
        <w:pStyle w:val="Heading2"/>
        <w:spacing w:after="120" w:before="240"/>
      </w:pPr>
      <w:r>
        <w:rPr>
          <w:rFonts w:ascii="Calibri" w:cs="Calibri" w:eastAsia="Calibri" w:hAnsi="Calibri"/>
          <w:b/>
          <w:bCs/>
          <w:color w:val="1B5E7A"/>
          <w:sz w:val="28"/>
          <w:szCs w:val="28"/>
        </w:rPr>
        <w:t xml:space="preserve">7.3 Feature Definition of Done</w:t>
      </w:r>
    </w:p>
    <w:p>
      <w:pPr>
        <w:pStyle w:val="ListParagraph"/>
        <w:numPr>
          <w:ilvl w:val="0"/>
          <w:numId w:val="2"/>
        </w:numPr>
        <w:spacing w:after="60"/>
      </w:pPr>
      <w:r>
        <w:rPr>
          <w:rFonts w:ascii="Calibri" w:cs="Calibri" w:eastAsia="Calibri" w:hAnsi="Calibri"/>
          <w:sz w:val="22"/>
          <w:szCs w:val="22"/>
        </w:rPr>
        <w:t xml:space="preserve">All component stories closed.</w:t>
      </w:r>
    </w:p>
    <w:p>
      <w:pPr>
        <w:pStyle w:val="ListParagraph"/>
        <w:numPr>
          <w:ilvl w:val="0"/>
          <w:numId w:val="2"/>
        </w:numPr>
        <w:spacing w:after="60"/>
      </w:pPr>
      <w:r>
        <w:rPr>
          <w:rFonts w:ascii="Calibri" w:cs="Calibri" w:eastAsia="Calibri" w:hAnsi="Calibri"/>
          <w:sz w:val="22"/>
          <w:szCs w:val="22"/>
        </w:rPr>
        <w:t xml:space="preserve">End-to-end test executed across the full path.</w:t>
      </w:r>
    </w:p>
    <w:p>
      <w:pPr>
        <w:pStyle w:val="ListParagraph"/>
        <w:numPr>
          <w:ilvl w:val="0"/>
          <w:numId w:val="2"/>
        </w:numPr>
        <w:spacing w:after="60"/>
      </w:pPr>
      <w:r>
        <w:rPr>
          <w:rFonts w:ascii="Calibri" w:cs="Calibri" w:eastAsia="Calibri" w:hAnsi="Calibri"/>
          <w:sz w:val="22"/>
          <w:szCs w:val="22"/>
        </w:rPr>
        <w:t xml:space="preserve">Non-functionals validated (performance, security, compliance).</w:t>
      </w:r>
    </w:p>
    <w:p>
      <w:pPr>
        <w:pStyle w:val="ListParagraph"/>
        <w:numPr>
          <w:ilvl w:val="0"/>
          <w:numId w:val="2"/>
        </w:numPr>
        <w:spacing w:after="60"/>
      </w:pPr>
      <w:r>
        <w:rPr>
          <w:rFonts w:ascii="Calibri" w:cs="Calibri" w:eastAsia="Calibri" w:hAnsi="Calibri"/>
          <w:sz w:val="22"/>
          <w:szCs w:val="22"/>
        </w:rPr>
        <w:t xml:space="preserve">Business validation signed off by Product Owner.</w:t>
      </w:r>
    </w:p>
    <w:p>
      <w:pPr>
        <w:pStyle w:val="ListParagraph"/>
        <w:numPr>
          <w:ilvl w:val="0"/>
          <w:numId w:val="2"/>
        </w:numPr>
        <w:spacing w:after="60"/>
      </w:pPr>
      <w:r>
        <w:rPr>
          <w:rFonts w:ascii="Calibri" w:cs="Calibri" w:eastAsia="Calibri" w:hAnsi="Calibri"/>
          <w:sz w:val="22"/>
          <w:szCs w:val="22"/>
        </w:rPr>
        <w:t xml:space="preserve">Live in production environment.</w:t>
      </w:r>
    </w:p>
    <w:p>
      <w:pPr>
        <w:pStyle w:val="ListParagraph"/>
        <w:numPr>
          <w:ilvl w:val="0"/>
          <w:numId w:val="2"/>
        </w:numPr>
        <w:spacing w:after="60"/>
      </w:pPr>
      <w:r>
        <w:rPr>
          <w:rFonts w:ascii="Calibri" w:cs="Calibri" w:eastAsia="Calibri" w:hAnsi="Calibri"/>
          <w:sz w:val="22"/>
          <w:szCs w:val="22"/>
        </w:rPr>
        <w:t xml:space="preserve">Documentation, runbook, and lineage updated.</w:t>
      </w:r>
    </w:p>
    <w:p>
      <w:pPr>
        <w:pStyle w:val="Heading2"/>
        <w:spacing w:after="120" w:before="240"/>
      </w:pPr>
      <w:r>
        <w:rPr>
          <w:rFonts w:ascii="Calibri" w:cs="Calibri" w:eastAsia="Calibri" w:hAnsi="Calibri"/>
          <w:b/>
          <w:bCs/>
          <w:color w:val="1B5E7A"/>
          <w:sz w:val="28"/>
          <w:szCs w:val="28"/>
        </w:rPr>
        <w:t xml:space="preserve">7.4 Feature examples</w:t>
      </w:r>
    </w:p>
    <w:p>
      <w:pPr>
        <w:spacing w:after="80" w:before="200"/>
      </w:pPr>
      <w:r>
        <w:rPr>
          <w:rFonts w:ascii="Calibri" w:cs="Calibri" w:eastAsia="Calibri" w:hAnsi="Calibri"/>
          <w:b/>
          <w:bCs/>
          <w:color w:val="2C7A7B"/>
          <w:spacing w:val="60"/>
          <w:sz w:val="22"/>
          <w:szCs w:val="22"/>
        </w:rPr>
        <w:t xml:space="preserve">SINGLE FAMILY</w:t>
      </w:r>
    </w:p>
    <w:p>
      <w:pPr>
        <w:spacing w:after="40"/>
      </w:pPr>
      <w:r>
        <w:rPr>
          <w:rFonts w:ascii="Calibri" w:cs="Calibri" w:eastAsia="Calibri" w:hAnsi="Calibri"/>
          <w:color w:val="6B7280"/>
          <w:sz w:val="20"/>
          <w:szCs w:val="20"/>
        </w:rPr>
        <w:t xml:space="preserve">Epic: Same-Day Lender Commitments for Conforming Loans</w:t>
      </w:r>
    </w:p>
    <w:p>
      <w:pPr>
        <w:spacing w:after="80"/>
      </w:pPr>
      <w:r>
        <w:rPr>
          <w:rFonts w:ascii="Calibri" w:cs="Calibri" w:eastAsia="Calibri" w:hAnsi="Calibri"/>
          <w:b/>
          <w:bCs/>
          <w:color w:val="0F2A4A"/>
          <w:sz w:val="28"/>
          <w:szCs w:val="28"/>
        </w:rPr>
        <w:t xml:space="preserve">Real-Time AUS Decision API for Lender Integration</w:t>
      </w:r>
    </w:p>
    <w:p>
      <w:pPr>
        <w:spacing w:after="100" w:before="0"/>
        <w:jc w:val="left"/>
      </w:pPr>
      <w:r>
        <w:rPr>
          <w:rFonts w:ascii="Calibri" w:cs="Calibri" w:eastAsia="Calibri" w:hAnsi="Calibri"/>
        </w:rPr>
        <w:t xml:space="preserve">Lender systems can submit a borrower file and receive an automated underwriting decision in under 200ms p95 — including credit tier, DTI flag, and condition list.</w:t>
      </w:r>
    </w:p>
    <w:p>
      <w:pPr>
        <w:spacing w:after="40" w:before="80"/>
      </w:pPr>
      <w:r>
        <w:rPr>
          <w:rFonts w:ascii="Calibri" w:cs="Calibri" w:eastAsia="Calibri" w:hAnsi="Calibri"/>
          <w:b/>
          <w:bCs/>
          <w:color w:val="2C7A7B"/>
          <w:spacing w:val="40"/>
          <w:sz w:val="20"/>
          <w:szCs w:val="20"/>
        </w:rPr>
        <w:t xml:space="preserve">Feature-level acceptance criteria</w:t>
      </w:r>
    </w:p>
    <w:p>
      <w:pPr>
        <w:pStyle w:val="ListParagraph"/>
        <w:numPr>
          <w:ilvl w:val="0"/>
          <w:numId w:val="2"/>
        </w:numPr>
        <w:spacing w:after="60"/>
      </w:pPr>
      <w:r>
        <w:rPr>
          <w:rFonts w:ascii="Calibri" w:cs="Calibri" w:eastAsia="Calibri" w:hAnsi="Calibri"/>
          <w:sz w:val="22"/>
          <w:szCs w:val="22"/>
        </w:rPr>
        <w:t xml:space="preserve">Returns full decision payload &lt; 200ms p95.</w:t>
      </w:r>
    </w:p>
    <w:p>
      <w:pPr>
        <w:pStyle w:val="ListParagraph"/>
        <w:numPr>
          <w:ilvl w:val="0"/>
          <w:numId w:val="2"/>
        </w:numPr>
        <w:spacing w:after="60"/>
      </w:pPr>
      <w:r>
        <w:rPr>
          <w:rFonts w:ascii="Calibri" w:cs="Calibri" w:eastAsia="Calibri" w:hAnsi="Calibri"/>
          <w:sz w:val="22"/>
          <w:szCs w:val="22"/>
        </w:rPr>
        <w:t xml:space="preserve">Supports 1,000 concurrent lender connections.</w:t>
      </w:r>
    </w:p>
    <w:p>
      <w:pPr>
        <w:pStyle w:val="ListParagraph"/>
        <w:numPr>
          <w:ilvl w:val="0"/>
          <w:numId w:val="2"/>
        </w:numPr>
        <w:spacing w:after="60"/>
      </w:pPr>
      <w:r>
        <w:rPr>
          <w:rFonts w:ascii="Calibri" w:cs="Calibri" w:eastAsia="Calibri" w:hAnsi="Calibri"/>
          <w:sz w:val="22"/>
          <w:szCs w:val="22"/>
        </w:rPr>
        <w:t xml:space="preserve">Decision logic matches the published rule set 100%.</w:t>
      </w:r>
    </w:p>
    <w:p>
      <w:pPr>
        <w:spacing w:after="80" w:before="200"/>
      </w:pPr>
      <w:r>
        <w:rPr>
          <w:rFonts w:ascii="Calibri" w:cs="Calibri" w:eastAsia="Calibri" w:hAnsi="Calibri"/>
          <w:b/>
          <w:bCs/>
          <w:color w:val="B7791F"/>
          <w:spacing w:val="60"/>
          <w:sz w:val="22"/>
          <w:szCs w:val="22"/>
        </w:rPr>
        <w:t xml:space="preserve">MULTIFAMILY</w:t>
      </w:r>
    </w:p>
    <w:p>
      <w:pPr>
        <w:spacing w:after="40"/>
      </w:pPr>
      <w:r>
        <w:rPr>
          <w:rFonts w:ascii="Calibri" w:cs="Calibri" w:eastAsia="Calibri" w:hAnsi="Calibri"/>
          <w:color w:val="6B7280"/>
          <w:sz w:val="20"/>
          <w:szCs w:val="20"/>
        </w:rPr>
        <w:t xml:space="preserve">Epic: Unified MF Servicing Visibility Across Sub-Servicers</w:t>
      </w:r>
    </w:p>
    <w:p>
      <w:pPr>
        <w:spacing w:after="80"/>
      </w:pPr>
      <w:r>
        <w:rPr>
          <w:rFonts w:ascii="Calibri" w:cs="Calibri" w:eastAsia="Calibri" w:hAnsi="Calibri"/>
          <w:b/>
          <w:bCs/>
          <w:color w:val="0F2A4A"/>
          <w:sz w:val="28"/>
          <w:szCs w:val="28"/>
        </w:rPr>
        <w:t xml:space="preserve">Standardized Sub-Servicer Daily Activity File Ingestion</w:t>
      </w:r>
    </w:p>
    <w:p>
      <w:pPr>
        <w:spacing w:after="100" w:before="0"/>
        <w:jc w:val="left"/>
      </w:pPr>
      <w:r>
        <w:rPr>
          <w:rFonts w:ascii="Calibri" w:cs="Calibri" w:eastAsia="Calibri" w:hAnsi="Calibri"/>
        </w:rPr>
        <w:t xml:space="preserve">All sub-servicers deliver daily activity in one schema, ingested into the MF data platform with 99.9% completeness within 4 hours of receipt.</w:t>
      </w:r>
    </w:p>
    <w:p>
      <w:pPr>
        <w:spacing w:after="40" w:before="80"/>
      </w:pPr>
      <w:r>
        <w:rPr>
          <w:rFonts w:ascii="Calibri" w:cs="Calibri" w:eastAsia="Calibri" w:hAnsi="Calibri"/>
          <w:b/>
          <w:bCs/>
          <w:color w:val="B7791F"/>
          <w:spacing w:val="40"/>
          <w:sz w:val="20"/>
          <w:szCs w:val="20"/>
        </w:rPr>
        <w:t xml:space="preserve">Feature-level acceptance criteria</w:t>
      </w:r>
    </w:p>
    <w:p>
      <w:pPr>
        <w:pStyle w:val="ListParagraph"/>
        <w:numPr>
          <w:ilvl w:val="0"/>
          <w:numId w:val="2"/>
        </w:numPr>
        <w:spacing w:after="60"/>
      </w:pPr>
      <w:r>
        <w:rPr>
          <w:rFonts w:ascii="Calibri" w:cs="Calibri" w:eastAsia="Calibri" w:hAnsi="Calibri"/>
          <w:sz w:val="22"/>
          <w:szCs w:val="22"/>
        </w:rPr>
        <w:t xml:space="preserve">Schema accepts all 7 active sub-servicers.</w:t>
      </w:r>
    </w:p>
    <w:p>
      <w:pPr>
        <w:pStyle w:val="ListParagraph"/>
        <w:numPr>
          <w:ilvl w:val="0"/>
          <w:numId w:val="2"/>
        </w:numPr>
        <w:spacing w:after="60"/>
      </w:pPr>
      <w:r>
        <w:rPr>
          <w:rFonts w:ascii="Calibri" w:cs="Calibri" w:eastAsia="Calibri" w:hAnsi="Calibri"/>
          <w:sz w:val="22"/>
          <w:szCs w:val="22"/>
        </w:rPr>
        <w:t xml:space="preserve">99.9% file-level completeness with auto-retry.</w:t>
      </w:r>
    </w:p>
    <w:p>
      <w:pPr>
        <w:pStyle w:val="ListParagraph"/>
        <w:numPr>
          <w:ilvl w:val="0"/>
          <w:numId w:val="2"/>
        </w:numPr>
        <w:spacing w:after="60"/>
      </w:pPr>
      <w:r>
        <w:rPr>
          <w:rFonts w:ascii="Calibri" w:cs="Calibri" w:eastAsia="Calibri" w:hAnsi="Calibri"/>
          <w:sz w:val="22"/>
          <w:szCs w:val="22"/>
        </w:rPr>
        <w:t xml:space="preserve">Lineage visible end-to-end in the catalog.</w:t>
      </w:r>
    </w:p>
    <w:p>
      <w:pPr>
        <w:spacing w:after="80" w:before="200"/>
      </w:pPr>
      <w:r>
        <w:rPr>
          <w:rFonts w:ascii="Calibri" w:cs="Calibri" w:eastAsia="Calibri" w:hAnsi="Calibri"/>
          <w:b/>
          <w:bCs/>
          <w:color w:val="6B46C1"/>
          <w:spacing w:val="60"/>
          <w:sz w:val="22"/>
          <w:szCs w:val="22"/>
        </w:rPr>
        <w:t xml:space="preserve">CAPITAL MARKETS</w:t>
      </w:r>
    </w:p>
    <w:p>
      <w:pPr>
        <w:spacing w:after="40"/>
      </w:pPr>
      <w:r>
        <w:rPr>
          <w:rFonts w:ascii="Calibri" w:cs="Calibri" w:eastAsia="Calibri" w:hAnsi="Calibri"/>
          <w:color w:val="6B7280"/>
          <w:sz w:val="20"/>
          <w:szCs w:val="20"/>
        </w:rPr>
        <w:t xml:space="preserve">Epic: T+0 Settlement for Specified MBS Pools</w:t>
      </w:r>
    </w:p>
    <w:p>
      <w:pPr>
        <w:spacing w:after="80"/>
      </w:pPr>
      <w:r>
        <w:rPr>
          <w:rFonts w:ascii="Calibri" w:cs="Calibri" w:eastAsia="Calibri" w:hAnsi="Calibri"/>
          <w:b/>
          <w:bCs/>
          <w:color w:val="0F2A4A"/>
          <w:sz w:val="28"/>
          <w:szCs w:val="28"/>
        </w:rPr>
        <w:t xml:space="preserve">Same-Day Pool Allocation &amp; WAC Calculation Engine</w:t>
      </w:r>
    </w:p>
    <w:p>
      <w:pPr>
        <w:spacing w:after="100" w:before="0"/>
        <w:jc w:val="left"/>
      </w:pPr>
      <w:r>
        <w:rPr>
          <w:rFonts w:ascii="Calibri" w:cs="Calibri" w:eastAsia="Calibri" w:hAnsi="Calibri"/>
        </w:rPr>
        <w:t xml:space="preserve">Operations can allocate eligible loans to a specified pool, compute weighted-average coupon, and lock the pool composition before market close on T+0.</w:t>
      </w:r>
    </w:p>
    <w:p>
      <w:pPr>
        <w:spacing w:after="40" w:before="80"/>
      </w:pPr>
      <w:r>
        <w:rPr>
          <w:rFonts w:ascii="Calibri" w:cs="Calibri" w:eastAsia="Calibri" w:hAnsi="Calibri"/>
          <w:b/>
          <w:bCs/>
          <w:color w:val="6B46C1"/>
          <w:spacing w:val="40"/>
          <w:sz w:val="20"/>
          <w:szCs w:val="20"/>
        </w:rPr>
        <w:t xml:space="preserve">Feature-level acceptance criteria</w:t>
      </w:r>
    </w:p>
    <w:p>
      <w:pPr>
        <w:pStyle w:val="ListParagraph"/>
        <w:numPr>
          <w:ilvl w:val="0"/>
          <w:numId w:val="2"/>
        </w:numPr>
        <w:spacing w:after="60"/>
      </w:pPr>
      <w:r>
        <w:rPr>
          <w:rFonts w:ascii="Calibri" w:cs="Calibri" w:eastAsia="Calibri" w:hAnsi="Calibri"/>
          <w:sz w:val="22"/>
          <w:szCs w:val="22"/>
        </w:rPr>
        <w:t xml:space="preserve">Allocation completes &lt; 5 min for pools up to 5,000 loans.</w:t>
      </w:r>
    </w:p>
    <w:p>
      <w:pPr>
        <w:pStyle w:val="ListParagraph"/>
        <w:numPr>
          <w:ilvl w:val="0"/>
          <w:numId w:val="2"/>
        </w:numPr>
        <w:spacing w:after="60"/>
      </w:pPr>
      <w:r>
        <w:rPr>
          <w:rFonts w:ascii="Calibri" w:cs="Calibri" w:eastAsia="Calibri" w:hAnsi="Calibri"/>
          <w:sz w:val="22"/>
          <w:szCs w:val="22"/>
        </w:rPr>
        <w:t xml:space="preserve">WAC matches manual reconciliation within 0.005%.</w:t>
      </w:r>
    </w:p>
    <w:p>
      <w:pPr>
        <w:pStyle w:val="ListParagraph"/>
        <w:numPr>
          <w:ilvl w:val="0"/>
          <w:numId w:val="2"/>
        </w:numPr>
        <w:spacing w:after="60"/>
      </w:pPr>
      <w:r>
        <w:rPr>
          <w:rFonts w:ascii="Calibri" w:cs="Calibri" w:eastAsia="Calibri" w:hAnsi="Calibri"/>
          <w:sz w:val="22"/>
          <w:szCs w:val="22"/>
        </w:rPr>
        <w:t xml:space="preserve">Audit trail for every allocation decision.</w:t>
      </w:r>
    </w:p>
    <w:p>
      <w:r>
        <w:br w:type="page"/>
      </w:r>
    </w:p>
    <w:p>
      <w:pPr>
        <w:pStyle w:val="Heading1"/>
        <w:spacing w:after="160" w:before="320"/>
      </w:pPr>
      <w:r>
        <w:rPr>
          <w:rFonts w:ascii="Calibri" w:cs="Calibri" w:eastAsia="Calibri" w:hAnsi="Calibri"/>
          <w:b/>
          <w:bCs/>
          <w:color w:val="0F2A4A"/>
          <w:sz w:val="36"/>
          <w:szCs w:val="36"/>
        </w:rPr>
        <w:t xml:space="preserve">8. Story — Template, Ready, Done, Examples</w:t>
      </w:r>
    </w:p>
    <w:p>
      <w:pPr>
        <w:pStyle w:val="Heading2"/>
        <w:spacing w:after="120" w:before="240"/>
      </w:pPr>
      <w:r>
        <w:rPr>
          <w:rFonts w:ascii="Calibri" w:cs="Calibri" w:eastAsia="Calibri" w:hAnsi="Calibri"/>
          <w:b/>
          <w:bCs/>
          <w:color w:val="C9962E"/>
          <w:sz w:val="28"/>
          <w:szCs w:val="28"/>
        </w:rPr>
        <w:t xml:space="preserve">8.1 Standard story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Title</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Outcome-led, written by the analyst or PO.</w:t>
            </w:r>
          </w:p>
        </w:tc>
      </w:tr>
      <w:tr>
        <w:tc>
          <w:tcPr>
            <w:tcW w:type="dxa" w:w="240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As a / I need / So that</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Persona, capability, business outcome.</w:t>
            </w:r>
          </w:p>
        </w:tc>
      </w:tr>
      <w:tr>
        <w:tc>
          <w:tcPr>
            <w:tcW w:type="dxa" w:w="240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Source Systems / Data</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Upstream feeds, tables, APIs the story touches.</w:t>
            </w:r>
          </w:p>
        </w:tc>
      </w:tr>
      <w:tr>
        <w:tc>
          <w:tcPr>
            <w:tcW w:type="dxa" w:w="240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Business Rules</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Explicit GSE definitions used (e.g. UPB, delinquency, WAC).</w:t>
            </w:r>
          </w:p>
        </w:tc>
      </w:tr>
      <w:tr>
        <w:tc>
          <w:tcPr>
            <w:tcW w:type="dxa" w:w="240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Acceptance Criteria</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Binary, testable. “&lt; 2% variance vs source” not “looks right.”</w:t>
            </w:r>
          </w:p>
        </w:tc>
      </w:tr>
      <w:tr>
        <w:tc>
          <w:tcPr>
            <w:tcW w:type="dxa" w:w="240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DoD Checklist</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Reusable list — same for every story.</w:t>
            </w:r>
          </w:p>
        </w:tc>
      </w:tr>
      <w:tr>
        <w:tc>
          <w:tcPr>
            <w:tcW w:type="dxa" w:w="240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Test Approach</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Unit, integration, data quality, performance — what runs and where.</w:t>
            </w:r>
          </w:p>
        </w:tc>
      </w:tr>
      <w:tr>
        <w:tc>
          <w:tcPr>
            <w:tcW w:type="dxa" w:w="240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Traceability Tag</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Epic · Feature · Lifecycle stage · LoB.</w:t>
            </w:r>
          </w:p>
        </w:tc>
      </w:tr>
    </w:tbl>
    <w:p>
      <w:pPr>
        <w:pStyle w:val="Heading2"/>
        <w:spacing w:after="120" w:before="240"/>
      </w:pPr>
      <w:r>
        <w:rPr>
          <w:rFonts w:ascii="Calibri" w:cs="Calibri" w:eastAsia="Calibri" w:hAnsi="Calibri"/>
          <w:b/>
          <w:bCs/>
          <w:color w:val="C9962E"/>
          <w:sz w:val="28"/>
          <w:szCs w:val="28"/>
        </w:rPr>
        <w:t xml:space="preserve">8.2 Spike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6DCE4" w:sz="4"/>
              <w:left w:val="single" w:color="D6DCE4" w:sz="4"/>
              <w:bottom w:val="single" w:color="D6DCE4" w:sz="4"/>
              <w:right w:val="single" w:color="D6DCE4" w:sz="4"/>
            </w:tcBorders>
            <w:shd w:fill="C9962E"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Question</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The one specific question the spike will answer.</w:t>
            </w:r>
          </w:p>
        </w:tc>
      </w:tr>
      <w:tr>
        <w:tc>
          <w:tcPr>
            <w:tcW w:type="dxa" w:w="2400"/>
            <w:tcBorders>
              <w:top w:val="single" w:color="D6DCE4" w:sz="4"/>
              <w:left w:val="single" w:color="D6DCE4" w:sz="4"/>
              <w:bottom w:val="single" w:color="D6DCE4" w:sz="4"/>
              <w:right w:val="single" w:color="D6DCE4" w:sz="4"/>
            </w:tcBorders>
            <w:shd w:fill="C9962E"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Timebox</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Fixed days. Hard stop, even if work is unfinished.</w:t>
            </w:r>
          </w:p>
        </w:tc>
      </w:tr>
      <w:tr>
        <w:tc>
          <w:tcPr>
            <w:tcW w:type="dxa" w:w="2400"/>
            <w:tcBorders>
              <w:top w:val="single" w:color="D6DCE4" w:sz="4"/>
              <w:left w:val="single" w:color="D6DCE4" w:sz="4"/>
              <w:bottom w:val="single" w:color="D6DCE4" w:sz="4"/>
              <w:right w:val="single" w:color="D6DCE4" w:sz="4"/>
            </w:tcBorders>
            <w:shd w:fill="C9962E"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Required Output</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Memo, notebook, or decision doc — not code in production.</w:t>
            </w:r>
          </w:p>
        </w:tc>
      </w:tr>
      <w:tr>
        <w:tc>
          <w:tcPr>
            <w:tcW w:type="dxa" w:w="2400"/>
            <w:tcBorders>
              <w:top w:val="single" w:color="D6DCE4" w:sz="4"/>
              <w:left w:val="single" w:color="D6DCE4" w:sz="4"/>
              <w:bottom w:val="single" w:color="D6DCE4" w:sz="4"/>
              <w:right w:val="single" w:color="D6DCE4" w:sz="4"/>
            </w:tcBorders>
            <w:shd w:fill="C9962E"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Decision Informed</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What downstream choice this enables.</w:t>
            </w:r>
          </w:p>
        </w:tc>
      </w:tr>
      <w:tr>
        <w:tc>
          <w:tcPr>
            <w:tcW w:type="dxa" w:w="2400"/>
            <w:tcBorders>
              <w:top w:val="single" w:color="D6DCE4" w:sz="4"/>
              <w:left w:val="single" w:color="D6DCE4" w:sz="4"/>
              <w:bottom w:val="single" w:color="D6DCE4" w:sz="4"/>
              <w:right w:val="single" w:color="D6DCE4" w:sz="4"/>
            </w:tcBorders>
            <w:shd w:fill="C9962E"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LoB / Lifecycle Tag</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So findings are reusable across the portfolio.</w:t>
            </w:r>
          </w:p>
        </w:tc>
      </w:tr>
    </w:tbl>
    <w:p>
      <w:pPr>
        <w:pStyle w:val="Heading2"/>
        <w:spacing w:after="120" w:before="240"/>
      </w:pPr>
      <w:r>
        <w:rPr>
          <w:rFonts w:ascii="Calibri" w:cs="Calibri" w:eastAsia="Calibri" w:hAnsi="Calibri"/>
          <w:b/>
          <w:bCs/>
          <w:color w:val="C9962E"/>
          <w:sz w:val="28"/>
          <w:szCs w:val="28"/>
        </w:rPr>
        <w:t xml:space="preserve">8.3 Story Definition of Ready</w:t>
      </w:r>
    </w:p>
    <w:p>
      <w:pPr>
        <w:pStyle w:val="ListParagraph"/>
        <w:numPr>
          <w:ilvl w:val="0"/>
          <w:numId w:val="2"/>
        </w:numPr>
        <w:spacing w:after="60"/>
      </w:pPr>
      <w:r>
        <w:rPr>
          <w:rFonts w:ascii="Calibri" w:cs="Calibri" w:eastAsia="Calibri" w:hAnsi="Calibri"/>
          <w:sz w:val="22"/>
          <w:szCs w:val="22"/>
        </w:rPr>
        <w:t xml:space="preserve">Template fully populated (no empty fields).</w:t>
      </w:r>
    </w:p>
    <w:p>
      <w:pPr>
        <w:pStyle w:val="ListParagraph"/>
        <w:numPr>
          <w:ilvl w:val="0"/>
          <w:numId w:val="2"/>
        </w:numPr>
        <w:spacing w:after="60"/>
      </w:pPr>
      <w:r>
        <w:rPr>
          <w:rFonts w:ascii="Calibri" w:cs="Calibri" w:eastAsia="Calibri" w:hAnsi="Calibri"/>
          <w:sz w:val="22"/>
          <w:szCs w:val="22"/>
        </w:rPr>
        <w:t xml:space="preserve">Acceptance criteria are binary and testable.</w:t>
      </w:r>
    </w:p>
    <w:p>
      <w:pPr>
        <w:pStyle w:val="ListParagraph"/>
        <w:numPr>
          <w:ilvl w:val="0"/>
          <w:numId w:val="2"/>
        </w:numPr>
        <w:spacing w:after="60"/>
      </w:pPr>
      <w:r>
        <w:rPr>
          <w:rFonts w:ascii="Calibri" w:cs="Calibri" w:eastAsia="Calibri" w:hAnsi="Calibri"/>
          <w:sz w:val="22"/>
          <w:szCs w:val="22"/>
        </w:rPr>
        <w:t xml:space="preserve">Source systems confirmed accessible by the squad.</w:t>
      </w:r>
    </w:p>
    <w:p>
      <w:pPr>
        <w:pStyle w:val="ListParagraph"/>
        <w:numPr>
          <w:ilvl w:val="0"/>
          <w:numId w:val="2"/>
        </w:numPr>
        <w:spacing w:after="60"/>
      </w:pPr>
      <w:r>
        <w:rPr>
          <w:rFonts w:ascii="Calibri" w:cs="Calibri" w:eastAsia="Calibri" w:hAnsi="Calibri"/>
          <w:sz w:val="22"/>
          <w:szCs w:val="22"/>
        </w:rPr>
        <w:t xml:space="preserve">Business rules unambiguous and signed off by analyst.</w:t>
      </w:r>
    </w:p>
    <w:p>
      <w:pPr>
        <w:pStyle w:val="ListParagraph"/>
        <w:numPr>
          <w:ilvl w:val="0"/>
          <w:numId w:val="2"/>
        </w:numPr>
        <w:spacing w:after="60"/>
      </w:pPr>
      <w:r>
        <w:rPr>
          <w:rFonts w:ascii="Calibri" w:cs="Calibri" w:eastAsia="Calibri" w:hAnsi="Calibri"/>
          <w:sz w:val="22"/>
          <w:szCs w:val="22"/>
        </w:rPr>
        <w:t xml:space="preserve">Linked to a parent feature.</w:t>
      </w:r>
    </w:p>
    <w:p>
      <w:pPr>
        <w:pStyle w:val="ListParagraph"/>
        <w:numPr>
          <w:ilvl w:val="0"/>
          <w:numId w:val="2"/>
        </w:numPr>
        <w:spacing w:after="60"/>
      </w:pPr>
      <w:r>
        <w:rPr>
          <w:rFonts w:ascii="Calibri" w:cs="Calibri" w:eastAsia="Calibri" w:hAnsi="Calibri"/>
          <w:sz w:val="22"/>
          <w:szCs w:val="22"/>
        </w:rPr>
        <w:t xml:space="preserve">Three-amigos review complete (PO + Dev + QA).</w:t>
      </w:r>
    </w:p>
    <w:p>
      <w:pPr>
        <w:pStyle w:val="ListParagraph"/>
        <w:numPr>
          <w:ilvl w:val="0"/>
          <w:numId w:val="2"/>
        </w:numPr>
        <w:spacing w:after="60"/>
      </w:pPr>
      <w:r>
        <w:rPr>
          <w:rFonts w:ascii="Calibri" w:cs="Calibri" w:eastAsia="Calibri" w:hAnsi="Calibri"/>
          <w:sz w:val="22"/>
          <w:szCs w:val="22"/>
        </w:rPr>
        <w:t xml:space="preserve">Sized — pointed by the squad, not assigned a number.</w:t>
      </w:r>
    </w:p>
    <w:p>
      <w:pPr>
        <w:pStyle w:val="Heading2"/>
        <w:spacing w:after="120" w:before="240"/>
      </w:pPr>
      <w:r>
        <w:rPr>
          <w:rFonts w:ascii="Calibri" w:cs="Calibri" w:eastAsia="Calibri" w:hAnsi="Calibri"/>
          <w:b/>
          <w:bCs/>
          <w:color w:val="C9962E"/>
          <w:sz w:val="28"/>
          <w:szCs w:val="28"/>
        </w:rPr>
        <w:t xml:space="preserve">8.4 Story Definition of Done</w:t>
      </w:r>
    </w:p>
    <w:p>
      <w:pPr>
        <w:pStyle w:val="ListParagraph"/>
        <w:numPr>
          <w:ilvl w:val="0"/>
          <w:numId w:val="2"/>
        </w:numPr>
        <w:spacing w:after="60"/>
      </w:pPr>
      <w:r>
        <w:rPr>
          <w:rFonts w:ascii="Calibri" w:cs="Calibri" w:eastAsia="Calibri" w:hAnsi="Calibri"/>
          <w:sz w:val="22"/>
          <w:szCs w:val="22"/>
        </w:rPr>
        <w:t xml:space="preserve">All acceptance criteria met and demonstrated.</w:t>
      </w:r>
    </w:p>
    <w:p>
      <w:pPr>
        <w:pStyle w:val="ListParagraph"/>
        <w:numPr>
          <w:ilvl w:val="0"/>
          <w:numId w:val="2"/>
        </w:numPr>
        <w:spacing w:after="60"/>
      </w:pPr>
      <w:r>
        <w:rPr>
          <w:rFonts w:ascii="Calibri" w:cs="Calibri" w:eastAsia="Calibri" w:hAnsi="Calibri"/>
          <w:sz w:val="22"/>
          <w:szCs w:val="22"/>
        </w:rPr>
        <w:t xml:space="preserve">Code reviewed and merged; unit tests passing.</w:t>
      </w:r>
    </w:p>
    <w:p>
      <w:pPr>
        <w:pStyle w:val="ListParagraph"/>
        <w:numPr>
          <w:ilvl w:val="0"/>
          <w:numId w:val="2"/>
        </w:numPr>
        <w:spacing w:after="60"/>
      </w:pPr>
      <w:r>
        <w:rPr>
          <w:rFonts w:ascii="Calibri" w:cs="Calibri" w:eastAsia="Calibri" w:hAnsi="Calibri"/>
          <w:sz w:val="22"/>
          <w:szCs w:val="22"/>
        </w:rPr>
        <w:t xml:space="preserve">Data quality checks passing where applicable.</w:t>
      </w:r>
    </w:p>
    <w:p>
      <w:pPr>
        <w:pStyle w:val="ListParagraph"/>
        <w:numPr>
          <w:ilvl w:val="0"/>
          <w:numId w:val="2"/>
        </w:numPr>
        <w:spacing w:after="60"/>
      </w:pPr>
      <w:r>
        <w:rPr>
          <w:rFonts w:ascii="Calibri" w:cs="Calibri" w:eastAsia="Calibri" w:hAnsi="Calibri"/>
          <w:sz w:val="22"/>
          <w:szCs w:val="22"/>
        </w:rPr>
        <w:t xml:space="preserve">Non-functional checks passing (performance, security, audit).</w:t>
      </w:r>
    </w:p>
    <w:p>
      <w:pPr>
        <w:pStyle w:val="ListParagraph"/>
        <w:numPr>
          <w:ilvl w:val="0"/>
          <w:numId w:val="2"/>
        </w:numPr>
        <w:spacing w:after="60"/>
      </w:pPr>
      <w:r>
        <w:rPr>
          <w:rFonts w:ascii="Calibri" w:cs="Calibri" w:eastAsia="Calibri" w:hAnsi="Calibri"/>
          <w:sz w:val="22"/>
          <w:szCs w:val="22"/>
        </w:rPr>
        <w:t xml:space="preserve">Business owner accepts in sprint demo.</w:t>
      </w:r>
    </w:p>
    <w:p>
      <w:pPr>
        <w:pStyle w:val="ListParagraph"/>
        <w:numPr>
          <w:ilvl w:val="0"/>
          <w:numId w:val="2"/>
        </w:numPr>
        <w:spacing w:after="60"/>
      </w:pPr>
      <w:r>
        <w:rPr>
          <w:rFonts w:ascii="Calibri" w:cs="Calibri" w:eastAsia="Calibri" w:hAnsi="Calibri"/>
          <w:sz w:val="22"/>
          <w:szCs w:val="22"/>
        </w:rPr>
        <w:t xml:space="preserve">Documentation, lineage, and runbook updated.</w:t>
      </w:r>
    </w:p>
    <w:p>
      <w:pPr>
        <w:pStyle w:val="ListParagraph"/>
        <w:numPr>
          <w:ilvl w:val="0"/>
          <w:numId w:val="2"/>
        </w:numPr>
        <w:spacing w:after="60"/>
      </w:pPr>
      <w:r>
        <w:rPr>
          <w:rFonts w:ascii="Calibri" w:cs="Calibri" w:eastAsia="Calibri" w:hAnsi="Calibri"/>
          <w:sz w:val="22"/>
          <w:szCs w:val="22"/>
        </w:rPr>
        <w:t xml:space="preserve">Deployed to the target environment.</w:t>
      </w:r>
    </w:p>
    <w:p>
      <w:pPr>
        <w:pStyle w:val="Heading2"/>
        <w:spacing w:after="120" w:before="240"/>
      </w:pPr>
      <w:r>
        <w:rPr>
          <w:rFonts w:ascii="Calibri" w:cs="Calibri" w:eastAsia="Calibri" w:hAnsi="Calibri"/>
          <w:b/>
          <w:bCs/>
          <w:color w:val="C9962E"/>
          <w:sz w:val="28"/>
          <w:szCs w:val="28"/>
        </w:rPr>
        <w:t xml:space="preserve">8.5 Story examples</w:t>
      </w:r>
    </w:p>
    <w:p>
      <w:pPr>
        <w:spacing w:after="80" w:before="200"/>
      </w:pPr>
      <w:r>
        <w:rPr>
          <w:rFonts w:ascii="Calibri" w:cs="Calibri" w:eastAsia="Calibri" w:hAnsi="Calibri"/>
          <w:b/>
          <w:bCs/>
          <w:color w:val="2C7A7B"/>
          <w:spacing w:val="60"/>
          <w:sz w:val="22"/>
          <w:szCs w:val="22"/>
        </w:rPr>
        <w:t xml:space="preserve">SF · ORIGINATION</w:t>
      </w:r>
    </w:p>
    <w:p>
      <w:pPr>
        <w:spacing w:after="80"/>
      </w:pPr>
      <w:r>
        <w:rPr>
          <w:rFonts w:ascii="Calibri" w:cs="Calibri" w:eastAsia="Calibri" w:hAnsi="Calibri"/>
          <w:b/>
          <w:bCs/>
          <w:color w:val="0F2A4A"/>
          <w:sz w:val="26"/>
          <w:szCs w:val="26"/>
        </w:rPr>
        <w:t xml:space="preserve">Return AUS decision with credit tier and DTI flag in &lt;200ms p95</w:t>
      </w:r>
    </w:p>
    <w:p>
      <w:pPr>
        <w:spacing w:after="100" w:before="0"/>
        <w:jc w:val="left"/>
      </w:pPr>
      <w:r>
        <w:rPr>
          <w:rFonts w:ascii="Calibri" w:cs="Calibri" w:eastAsia="Calibri" w:hAnsi="Calibri"/>
        </w:rPr>
        <w:t xml:space="preserve">As a Lender Operations user, I need an AUS decision returned synchronously so that I can issue a same-day commitment.</w:t>
      </w:r>
    </w:p>
    <w:p>
      <w:pPr>
        <w:spacing w:before="60"/>
      </w:pPr>
      <w:r>
        <w:rPr>
          <w:rFonts w:ascii="Calibri" w:cs="Calibri" w:eastAsia="Calibri" w:hAnsi="Calibri"/>
          <w:b/>
          <w:bCs/>
          <w:color w:val="2C7A7B"/>
          <w:sz w:val="22"/>
          <w:szCs w:val="22"/>
        </w:rPr>
        <w:t xml:space="preserve">Acceptance criteria: </w:t>
      </w:r>
      <w:r>
        <w:rPr>
          <w:rFonts w:ascii="Calibri" w:cs="Calibri" w:eastAsia="Calibri" w:hAnsi="Calibri"/>
          <w:color w:val="1A1A1A"/>
          <w:sz w:val="22"/>
          <w:szCs w:val="22"/>
        </w:rPr>
        <w:t xml:space="preserve">p95 latency &lt; 200ms · Credit tier returned in all 4 buckets · DTI flag returned where DTI &gt; 43%.</w:t>
      </w:r>
    </w:p>
    <w:p>
      <w:pPr>
        <w:spacing w:after="80" w:before="200"/>
      </w:pPr>
      <w:r>
        <w:rPr>
          <w:rFonts w:ascii="Calibri" w:cs="Calibri" w:eastAsia="Calibri" w:hAnsi="Calibri"/>
          <w:b/>
          <w:bCs/>
          <w:color w:val="B7791F"/>
          <w:spacing w:val="60"/>
          <w:sz w:val="22"/>
          <w:szCs w:val="22"/>
        </w:rPr>
        <w:t xml:space="preserve">MF · SERVICING</w:t>
      </w:r>
    </w:p>
    <w:p>
      <w:pPr>
        <w:spacing w:after="80"/>
      </w:pPr>
      <w:r>
        <w:rPr>
          <w:rFonts w:ascii="Calibri" w:cs="Calibri" w:eastAsia="Calibri" w:hAnsi="Calibri"/>
          <w:b/>
          <w:bCs/>
          <w:color w:val="0F2A4A"/>
          <w:sz w:val="26"/>
          <w:szCs w:val="26"/>
        </w:rPr>
        <w:t xml:space="preserve">Ingest Wells Fargo MF daily remittance file with 99.9% completeness</w:t>
      </w:r>
    </w:p>
    <w:p>
      <w:pPr>
        <w:spacing w:after="100" w:before="0"/>
        <w:jc w:val="left"/>
      </w:pPr>
      <w:r>
        <w:rPr>
          <w:rFonts w:ascii="Calibri" w:cs="Calibri" w:eastAsia="Calibri" w:hAnsi="Calibri"/>
        </w:rPr>
        <w:t xml:space="preserve">As an MF Asset Manager, I need WF daily remittance reflected in the platform so that delinquency reporting is accurate within 24h.</w:t>
      </w:r>
    </w:p>
    <w:p>
      <w:pPr>
        <w:spacing w:before="60"/>
      </w:pPr>
      <w:r>
        <w:rPr>
          <w:rFonts w:ascii="Calibri" w:cs="Calibri" w:eastAsia="Calibri" w:hAnsi="Calibri"/>
          <w:b/>
          <w:bCs/>
          <w:color w:val="B7791F"/>
          <w:sz w:val="22"/>
          <w:szCs w:val="22"/>
        </w:rPr>
        <w:t xml:space="preserve">Acceptance criteria: </w:t>
      </w:r>
      <w:r>
        <w:rPr>
          <w:rFonts w:ascii="Calibri" w:cs="Calibri" w:eastAsia="Calibri" w:hAnsi="Calibri"/>
          <w:color w:val="1A1A1A"/>
          <w:sz w:val="22"/>
          <w:szCs w:val="22"/>
        </w:rPr>
        <w:t xml:space="preserve">File parsed end-to-end · 99.9% record-level completeness · Mismatches routed to exception queue with alert.</w:t>
      </w:r>
    </w:p>
    <w:p>
      <w:pPr>
        <w:spacing w:after="80" w:before="200"/>
      </w:pPr>
      <w:r>
        <w:rPr>
          <w:rFonts w:ascii="Calibri" w:cs="Calibri" w:eastAsia="Calibri" w:hAnsi="Calibri"/>
          <w:b/>
          <w:bCs/>
          <w:color w:val="6B46C1"/>
          <w:spacing w:val="60"/>
          <w:sz w:val="22"/>
          <w:szCs w:val="22"/>
        </w:rPr>
        <w:t xml:space="preserve">CAPMKTS · SECURITIZATION</w:t>
      </w:r>
    </w:p>
    <w:p>
      <w:pPr>
        <w:spacing w:after="80"/>
      </w:pPr>
      <w:r>
        <w:rPr>
          <w:rFonts w:ascii="Calibri" w:cs="Calibri" w:eastAsia="Calibri" w:hAnsi="Calibri"/>
          <w:b/>
          <w:bCs/>
          <w:color w:val="0F2A4A"/>
          <w:sz w:val="26"/>
          <w:szCs w:val="26"/>
        </w:rPr>
        <w:t xml:space="preserve">Calculate weighted-average coupon for same-day pool with mixed coupons</w:t>
      </w:r>
    </w:p>
    <w:p>
      <w:pPr>
        <w:spacing w:after="100" w:before="0"/>
        <w:jc w:val="left"/>
      </w:pPr>
      <w:r>
        <w:rPr>
          <w:rFonts w:ascii="Calibri" w:cs="Calibri" w:eastAsia="Calibri" w:hAnsi="Calibri"/>
        </w:rPr>
        <w:t xml:space="preserve">As a Securitization Operations user, I need WAC computed in real time on a draft pool so that I can validate before locking.</w:t>
      </w:r>
    </w:p>
    <w:p>
      <w:pPr>
        <w:spacing w:before="60"/>
      </w:pPr>
      <w:r>
        <w:rPr>
          <w:rFonts w:ascii="Calibri" w:cs="Calibri" w:eastAsia="Calibri" w:hAnsi="Calibri"/>
          <w:b/>
          <w:bCs/>
          <w:color w:val="6B46C1"/>
          <w:sz w:val="22"/>
          <w:szCs w:val="22"/>
        </w:rPr>
        <w:t xml:space="preserve">Acceptance criteria: </w:t>
      </w:r>
      <w:r>
        <w:rPr>
          <w:rFonts w:ascii="Calibri" w:cs="Calibri" w:eastAsia="Calibri" w:hAnsi="Calibri"/>
          <w:color w:val="1A1A1A"/>
          <w:sz w:val="22"/>
          <w:szCs w:val="22"/>
        </w:rPr>
        <w:t xml:space="preserve">WAC computed for pools up to 5,000 loans in &lt;30 sec · Matches manual recon within 0.005% · Audit log per calculation.</w:t>
      </w:r>
    </w:p>
    <w:p>
      <w:pPr>
        <w:spacing w:after="80" w:before="200"/>
      </w:pPr>
      <w:r>
        <w:rPr>
          <w:rFonts w:ascii="Calibri" w:cs="Calibri" w:eastAsia="Calibri" w:hAnsi="Calibri"/>
          <w:b/>
          <w:bCs/>
          <w:color w:val="C9962E"/>
          <w:spacing w:val="60"/>
          <w:sz w:val="22"/>
          <w:szCs w:val="22"/>
        </w:rPr>
        <w:t xml:space="preserve">SPIKE · CROSS-LOB</w:t>
      </w:r>
    </w:p>
    <w:p>
      <w:pPr>
        <w:spacing w:after="80"/>
      </w:pPr>
      <w:r>
        <w:rPr>
          <w:rFonts w:ascii="Calibri" w:cs="Calibri" w:eastAsia="Calibri" w:hAnsi="Calibri"/>
          <w:b/>
          <w:bCs/>
          <w:color w:val="0F2A4A"/>
          <w:sz w:val="26"/>
          <w:szCs w:val="26"/>
        </w:rPr>
        <w:t xml:space="preserve">Investigate prepayment speed anomaly in Q1 2026 SF 30Y 5.5% pools</w:t>
      </w:r>
    </w:p>
    <w:p>
      <w:pPr>
        <w:spacing w:after="100" w:before="0"/>
        <w:jc w:val="left"/>
      </w:pPr>
      <w:r>
        <w:rPr>
          <w:rFonts w:ascii="Calibri" w:cs="Calibri" w:eastAsia="Calibri" w:hAnsi="Calibri"/>
        </w:rPr>
        <w:t xml:space="preserve">Question: Why did CPR diverge 18% from model on a specific cohort? Required output: memo plus notebook with hypotheses tested.</w:t>
      </w:r>
    </w:p>
    <w:p>
      <w:pPr>
        <w:spacing w:before="60"/>
      </w:pPr>
      <w:r>
        <w:rPr>
          <w:rFonts w:ascii="Calibri" w:cs="Calibri" w:eastAsia="Calibri" w:hAnsi="Calibri"/>
          <w:b/>
          <w:bCs/>
          <w:color w:val="C9962E"/>
          <w:sz w:val="22"/>
          <w:szCs w:val="22"/>
        </w:rPr>
        <w:t xml:space="preserve">Acceptance criteria: </w:t>
      </w:r>
      <w:r>
        <w:rPr>
          <w:rFonts w:ascii="Calibri" w:cs="Calibri" w:eastAsia="Calibri" w:hAnsi="Calibri"/>
          <w:color w:val="1A1A1A"/>
          <w:sz w:val="22"/>
          <w:szCs w:val="22"/>
        </w:rPr>
        <w:t xml:space="preserve">Timebox: 1 sprint · Decision informed: whether to re-tune model or treat as transient.</w:t>
      </w:r>
    </w:p>
    <w:p>
      <w:r>
        <w:br w:type="page"/>
      </w:r>
    </w:p>
    <w:p>
      <w:pPr>
        <w:pStyle w:val="Heading1"/>
        <w:spacing w:after="160" w:before="320"/>
      </w:pPr>
      <w:r>
        <w:rPr>
          <w:rFonts w:ascii="Calibri" w:cs="Calibri" w:eastAsia="Calibri" w:hAnsi="Calibri"/>
          <w:b/>
          <w:bCs/>
          <w:color w:val="0F2A4A"/>
          <w:sz w:val="36"/>
          <w:szCs w:val="36"/>
        </w:rPr>
        <w:t xml:space="preserve">9. Traceability — Epic → Feature → Story</w:t>
      </w:r>
    </w:p>
    <w:p>
      <w:pPr>
        <w:spacing w:after="100" w:before="0"/>
        <w:jc w:val="left"/>
      </w:pPr>
      <w:r>
        <w:rPr>
          <w:rFonts w:ascii="Calibri" w:cs="Calibri" w:eastAsia="Calibri" w:hAnsi="Calibri"/>
        </w:rPr>
        <w:t xml:space="preserve">Every story tags its parent feature and epic. Anyone reading a story can trace the strategic intent in two clicks. Below is one full example.</w:t>
      </w:r>
    </w:p>
    <w:p>
      <w:pPr>
        <w:pStyle w:val="Heading3"/>
        <w:spacing w:after="80" w:before="180"/>
      </w:pPr>
      <w:r>
        <w:rPr>
          <w:rFonts w:ascii="Calibri" w:cs="Calibri" w:eastAsia="Calibri" w:hAnsi="Calibri"/>
          <w:b/>
          <w:bCs/>
          <w:color w:val="0F2A4A"/>
          <w:sz w:val="24"/>
          <w:szCs w:val="24"/>
        </w:rPr>
        <w:t xml:space="preserve">Epic: T+0 Settlement for Specified MBS Pools</w:t>
      </w:r>
    </w:p>
    <w:p>
      <w:pPr>
        <w:spacing w:after="80"/>
        <w:ind w:left="360"/>
      </w:pPr>
      <w:r>
        <w:rPr>
          <w:rFonts w:ascii="Calibri" w:cs="Calibri" w:eastAsia="Calibri" w:hAnsi="Calibri"/>
          <w:b/>
          <w:bCs/>
          <w:color w:val="1B5E7A"/>
          <w:sz w:val="24"/>
          <w:szCs w:val="24"/>
        </w:rPr>
        <w:t xml:space="preserve">Feature: Same-Day Pool Allocation &amp; WAC Calculation Engine</w:t>
      </w:r>
    </w:p>
    <w:p>
      <w:pPr>
        <w:spacing w:after="40"/>
        <w:ind w:left="720"/>
      </w:pPr>
      <w:r>
        <w:rPr>
          <w:rFonts w:ascii="Calibri" w:cs="Calibri" w:eastAsia="Calibri" w:hAnsi="Calibri"/>
          <w:color w:val="1A1A1A"/>
          <w:sz w:val="22"/>
          <w:szCs w:val="22"/>
        </w:rPr>
        <w:t xml:space="preserve">• Story: Calculate WAC for same-day pool with mixed coupons</w:t>
      </w:r>
    </w:p>
    <w:p>
      <w:pPr>
        <w:spacing w:after="40"/>
        <w:ind w:left="720"/>
      </w:pPr>
      <w:r>
        <w:rPr>
          <w:rFonts w:ascii="Calibri" w:cs="Calibri" w:eastAsia="Calibri" w:hAnsi="Calibri"/>
          <w:color w:val="1A1A1A"/>
          <w:sz w:val="22"/>
          <w:szCs w:val="22"/>
        </w:rPr>
        <w:t xml:space="preserve">• Story: Real-time UPB validation against source system at allocation</w:t>
      </w:r>
    </w:p>
    <w:p>
      <w:pPr>
        <w:spacing w:after="40"/>
        <w:ind w:left="720"/>
      </w:pPr>
      <w:r>
        <w:rPr>
          <w:rFonts w:ascii="Calibri" w:cs="Calibri" w:eastAsia="Calibri" w:hAnsi="Calibri"/>
          <w:color w:val="1A1A1A"/>
          <w:sz w:val="22"/>
          <w:szCs w:val="22"/>
        </w:rPr>
        <w:t xml:space="preserve">• Story: Settlement instruction generation API</w:t>
      </w:r>
    </w:p>
    <w:p>
      <w:pPr>
        <w:spacing w:after="80" w:before="100"/>
        <w:ind w:left="360"/>
      </w:pPr>
      <w:r>
        <w:rPr>
          <w:rFonts w:ascii="Calibri" w:cs="Calibri" w:eastAsia="Calibri" w:hAnsi="Calibri"/>
          <w:b/>
          <w:bCs/>
          <w:color w:val="1B5E7A"/>
          <w:sz w:val="24"/>
          <w:szCs w:val="24"/>
        </w:rPr>
        <w:t xml:space="preserve">Feature: T+0 Investor Reporting Pipeline</w:t>
      </w:r>
    </w:p>
    <w:p>
      <w:pPr>
        <w:spacing w:after="40"/>
        <w:ind w:left="720"/>
      </w:pPr>
      <w:r>
        <w:rPr>
          <w:rFonts w:ascii="Calibri" w:cs="Calibri" w:eastAsia="Calibri" w:hAnsi="Calibri"/>
          <w:color w:val="1A1A1A"/>
          <w:sz w:val="22"/>
          <w:szCs w:val="22"/>
        </w:rPr>
        <w:t xml:space="preserve">• Story: T+0 trade tape ingestion</w:t>
      </w:r>
    </w:p>
    <w:p>
      <w:pPr>
        <w:spacing w:after="40"/>
        <w:ind w:left="720"/>
      </w:pPr>
      <w:r>
        <w:rPr>
          <w:rFonts w:ascii="Calibri" w:cs="Calibri" w:eastAsia="Calibri" w:hAnsi="Calibri"/>
          <w:color w:val="1A1A1A"/>
          <w:sz w:val="22"/>
          <w:szCs w:val="22"/>
        </w:rPr>
        <w:t xml:space="preserve">• Story: Same-day investor remittance email generation</w:t>
      </w:r>
    </w:p>
    <w:p>
      <w:r>
        <w:br w:type="page"/>
      </w:r>
    </w:p>
    <w:p>
      <w:pPr>
        <w:pStyle w:val="Heading1"/>
        <w:spacing w:after="160" w:before="320"/>
      </w:pPr>
      <w:r>
        <w:rPr>
          <w:rFonts w:ascii="Calibri" w:cs="Calibri" w:eastAsia="Calibri" w:hAnsi="Calibri"/>
          <w:b/>
          <w:bCs/>
          <w:color w:val="0F2A4A"/>
          <w:sz w:val="36"/>
          <w:szCs w:val="36"/>
        </w:rPr>
        <w:t xml:space="preserve">10. Team Commitments</w:t>
      </w:r>
    </w:p>
    <w:p>
      <w:pPr>
        <w:spacing w:after="100" w:before="0"/>
        <w:jc w:val="left"/>
      </w:pPr>
      <w:r>
        <w:rPr>
          <w:rFonts w:ascii="Calibri" w:cs="Calibri" w:eastAsia="Calibri" w:hAnsi="Calibri"/>
        </w:rPr>
        <w:t xml:space="preserve">What each role brings to the playbook. These are commitments, not job descriptions — they describe what each role is on the hook for so the system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Business Sponsor</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Names the outcome, funds the epic, and reviews progress at the portfolio level. Stays out of sprint mechanics.</w:t>
            </w:r>
          </w:p>
        </w:tc>
      </w:tr>
      <w:tr>
        <w:tc>
          <w:tcPr>
            <w:tcW w:type="dxa" w:w="2400"/>
            <w:tcBorders>
              <w:top w:val="single" w:color="D6DCE4" w:sz="4"/>
              <w:left w:val="single" w:color="D6DCE4" w:sz="4"/>
              <w:bottom w:val="single" w:color="D6DCE4" w:sz="4"/>
              <w:right w:val="single" w:color="D6DCE4" w:sz="4"/>
            </w:tcBorders>
            <w:shd w:fill="1B5E7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Product Owner</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Owns features end-to-end. Ensures stories meet Definition of Ready before sprint planning. Runs three-amigos. Accepts in demo.</w:t>
            </w:r>
          </w:p>
        </w:tc>
      </w:tr>
      <w:tr>
        <w:tc>
          <w:tcPr>
            <w:tcW w:type="dxa" w:w="2400"/>
            <w:tcBorders>
              <w:top w:val="single" w:color="D6DCE4" w:sz="4"/>
              <w:left w:val="single" w:color="D6DCE4" w:sz="4"/>
              <w:bottom w:val="single" w:color="D6DCE4" w:sz="4"/>
              <w:right w:val="single" w:color="D6DCE4" w:sz="4"/>
            </w:tcBorders>
            <w:shd w:fill="2C7A7B"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Senior Analyst</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Owns business-rule clarity and source-system accessibility. Writes acceptance criteria with the PO. Validates outputs against source.</w:t>
            </w:r>
          </w:p>
        </w:tc>
      </w:tr>
      <w:tr>
        <w:tc>
          <w:tcPr>
            <w:tcW w:type="dxa" w:w="2400"/>
            <w:tcBorders>
              <w:top w:val="single" w:color="D6DCE4" w:sz="4"/>
              <w:left w:val="single" w:color="D6DCE4" w:sz="4"/>
              <w:bottom w:val="single" w:color="D6DCE4" w:sz="4"/>
              <w:right w:val="single" w:color="D6DCE4" w:sz="4"/>
            </w:tcBorders>
            <w:shd w:fill="6B46C1"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Tech Lead</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Owns architectural integrity across stories within a feature. Surfaces cross-feature dependencies early.</w:t>
            </w:r>
          </w:p>
        </w:tc>
      </w:tr>
      <w:tr>
        <w:tc>
          <w:tcPr>
            <w:tcW w:type="dxa" w:w="2400"/>
            <w:tcBorders>
              <w:top w:val="single" w:color="D6DCE4" w:sz="4"/>
              <w:left w:val="single" w:color="D6DCE4" w:sz="4"/>
              <w:bottom w:val="single" w:color="D6DCE4" w:sz="4"/>
              <w:right w:val="single" w:color="D6DCE4" w:sz="4"/>
            </w:tcBorders>
            <w:shd w:fill="B7791F"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Squad (Devs + QA)</w:t>
            </w:r>
          </w:p>
        </w:tc>
        <w:tc>
          <w:tcPr>
            <w:tcW w:type="dxa" w:w="6960"/>
            <w:tcBorders>
              <w:top w:val="single" w:color="D6DCE4" w:sz="4"/>
              <w:left w:val="single" w:color="D6DCE4" w:sz="4"/>
              <w:bottom w:val="single" w:color="D6DCE4" w:sz="4"/>
              <w:right w:val="single" w:color="D6DCE4" w:sz="4"/>
            </w:tcBorders>
            <w:shd w:fill="FFFFFF" w:val="clear"/>
            <w:tcMar>
              <w:top w:type="dxa" w:w="100"/>
              <w:left w:type="dxa" w:w="140"/>
              <w:bottom w:type="dxa" w:w="100"/>
              <w:right w:type="dxa" w:w="140"/>
            </w:tcMar>
          </w:tcPr>
          <w:p>
            <w:pPr>
              <w:spacing w:after="40"/>
            </w:pPr>
            <w:r>
              <w:rPr>
                <w:rFonts w:ascii="Calibri" w:cs="Calibri" w:eastAsia="Calibri" w:hAnsi="Calibri"/>
                <w:b w:val="false"/>
                <w:bCs w:val="false"/>
                <w:color w:val="1A1A1A"/>
                <w:sz w:val="20"/>
                <w:szCs w:val="20"/>
              </w:rPr>
              <w:t xml:space="preserve">Collectively owns Definition of Done. Accepts ready stories with confidence; respectfully returns un-ready stories for refinement.</w:t>
            </w:r>
          </w:p>
        </w:tc>
      </w:tr>
    </w:tbl>
    <w:p>
      <w:r>
        <w:br w:type="page"/>
      </w:r>
    </w:p>
    <w:p>
      <w:pPr>
        <w:pStyle w:val="Heading1"/>
        <w:spacing w:after="160" w:before="320"/>
      </w:pPr>
      <w:r>
        <w:rPr>
          <w:rFonts w:ascii="Calibri" w:cs="Calibri" w:eastAsia="Calibri" w:hAnsi="Calibri"/>
          <w:b/>
          <w:bCs/>
          <w:color w:val="0F2A4A"/>
          <w:sz w:val="36"/>
          <w:szCs w:val="36"/>
        </w:rPr>
        <w:t xml:space="preserve">11. Quick Reference</w:t>
      </w:r>
    </w:p>
    <w:p>
      <w:pPr>
        <w:spacing w:after="100" w:before="0"/>
        <w:jc w:val="left"/>
      </w:pPr>
      <w:r>
        <w:rPr>
          <w:rFonts w:ascii="Calibri" w:cs="Calibri" w:eastAsia="Calibri" w:hAnsi="Calibri"/>
        </w:rPr>
        <w:t xml:space="preserve">Pin this above your monitor. Same shape at every level — only the criteria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CE4" w:sz="4"/>
              <w:left w:val="single" w:color="D6DCE4" w:sz="4"/>
              <w:bottom w:val="single" w:color="D6DCE4" w:sz="4"/>
              <w:right w:val="single" w:color="D6DCE4" w:sz="4"/>
            </w:tcBorders>
            <w:shd w:fill="0F2A4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EPIC</w:t>
            </w:r>
          </w:p>
        </w:tc>
        <w:tc>
          <w:tcPr>
            <w:tcW w:type="dxa" w:w="3120"/>
            <w:tcBorders>
              <w:top w:val="single" w:color="D6DCE4" w:sz="4"/>
              <w:left w:val="single" w:color="D6DCE4" w:sz="4"/>
              <w:bottom w:val="single" w:color="D6DCE4" w:sz="4"/>
              <w:right w:val="single" w:color="D6DCE4" w:sz="4"/>
            </w:tcBorders>
            <w:shd w:fill="1B5E7A"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FEATURE</w:t>
            </w:r>
          </w:p>
        </w:tc>
        <w:tc>
          <w:tcPr>
            <w:tcW w:type="dxa" w:w="3120"/>
            <w:tcBorders>
              <w:top w:val="single" w:color="D6DCE4" w:sz="4"/>
              <w:left w:val="single" w:color="D6DCE4" w:sz="4"/>
              <w:bottom w:val="single" w:color="D6DCE4" w:sz="4"/>
              <w:right w:val="single" w:color="D6DCE4" w:sz="4"/>
            </w:tcBorders>
            <w:shd w:fill="C9962E" w:val="clear"/>
            <w:tcMar>
              <w:top w:type="dxa" w:w="100"/>
              <w:left w:type="dxa" w:w="140"/>
              <w:bottom w:type="dxa" w:w="100"/>
              <w:right w:type="dxa" w:w="140"/>
            </w:tcMar>
          </w:tcPr>
          <w:p>
            <w:pPr>
              <w:spacing w:after="40"/>
            </w:pPr>
            <w:r>
              <w:rPr>
                <w:rFonts w:ascii="Calibri" w:cs="Calibri" w:eastAsia="Calibri" w:hAnsi="Calibri"/>
                <w:b/>
                <w:bCs/>
                <w:color w:val="FFFFFF"/>
                <w:sz w:val="20"/>
                <w:szCs w:val="20"/>
              </w:rPr>
              <w:t xml:space="preserve">STORY</w:t>
            </w:r>
          </w:p>
        </w:tc>
      </w:tr>
      <w:tr>
        <w:tc>
          <w:tcPr>
            <w:tcW w:type="dxa" w:w="3120"/>
            <w:tcBorders>
              <w:top w:val="single" w:color="D6DCE4" w:sz="4"/>
              <w:left w:val="single" w:color="D6DCE4" w:sz="4"/>
              <w:bottom w:val="single" w:color="D6DCE4" w:sz="4"/>
              <w:right w:val="single" w:color="D6DCE4" w:sz="4"/>
            </w:tcBorders>
            <w:shd w:fill="E5EAF0" w:val="clear"/>
            <w:tcMar>
              <w:top w:type="dxa" w:w="100"/>
              <w:left w:type="dxa" w:w="140"/>
              <w:bottom w:type="dxa" w:w="100"/>
              <w:right w:type="dxa" w:w="140"/>
            </w:tcMar>
          </w:tcPr>
          <w:p>
            <w:pPr>
              <w:spacing w:after="40"/>
            </w:pPr>
            <w:r>
              <w:rPr>
                <w:rFonts w:ascii="Calibri" w:cs="Calibri" w:eastAsia="Calibri" w:hAnsi="Calibri"/>
                <w:b/>
                <w:bCs/>
                <w:color w:val="0F2A4A"/>
                <w:sz w:val="20"/>
                <w:szCs w:val="20"/>
              </w:rPr>
              <w:t xml:space="preserve">READY</w:t>
            </w:r>
          </w:p>
        </w:tc>
        <w:tc>
          <w:tcPr>
            <w:tcW w:type="dxa" w:w="3120"/>
            <w:tcBorders>
              <w:top w:val="single" w:color="D6DCE4" w:sz="4"/>
              <w:left w:val="single" w:color="D6DCE4" w:sz="4"/>
              <w:bottom w:val="single" w:color="D6DCE4" w:sz="4"/>
              <w:right w:val="single" w:color="D6DCE4" w:sz="4"/>
            </w:tcBorders>
            <w:shd w:fill="E5EAF0" w:val="clear"/>
            <w:tcMar>
              <w:top w:type="dxa" w:w="100"/>
              <w:left w:type="dxa" w:w="140"/>
              <w:bottom w:type="dxa" w:w="100"/>
              <w:right w:type="dxa" w:w="140"/>
            </w:tcMar>
          </w:tcPr>
          <w:p>
            <w:pPr>
              <w:spacing w:after="40"/>
            </w:pPr>
            <w:r>
              <w:rPr>
                <w:rFonts w:ascii="Calibri" w:cs="Calibri" w:eastAsia="Calibri" w:hAnsi="Calibri"/>
                <w:b/>
                <w:bCs/>
                <w:color w:val="1B5E7A"/>
                <w:sz w:val="20"/>
                <w:szCs w:val="20"/>
              </w:rPr>
              <w:t xml:space="preserve">READY</w:t>
            </w:r>
          </w:p>
        </w:tc>
        <w:tc>
          <w:tcPr>
            <w:tcW w:type="dxa" w:w="3120"/>
            <w:tcBorders>
              <w:top w:val="single" w:color="D6DCE4" w:sz="4"/>
              <w:left w:val="single" w:color="D6DCE4" w:sz="4"/>
              <w:bottom w:val="single" w:color="D6DCE4" w:sz="4"/>
              <w:right w:val="single" w:color="D6DCE4" w:sz="4"/>
            </w:tcBorders>
            <w:shd w:fill="E5EAF0" w:val="clear"/>
            <w:tcMar>
              <w:top w:type="dxa" w:w="100"/>
              <w:left w:type="dxa" w:w="140"/>
              <w:bottom w:type="dxa" w:w="100"/>
              <w:right w:type="dxa" w:w="140"/>
            </w:tcMar>
          </w:tcPr>
          <w:p>
            <w:pPr>
              <w:spacing w:after="40"/>
            </w:pPr>
            <w:r>
              <w:rPr>
                <w:rFonts w:ascii="Calibri" w:cs="Calibri" w:eastAsia="Calibri" w:hAnsi="Calibri"/>
                <w:b/>
                <w:bCs/>
                <w:color w:val="8a6a1f"/>
                <w:sz w:val="20"/>
                <w:szCs w:val="20"/>
              </w:rPr>
              <w:t xml:space="preserve">READY</w:t>
            </w:r>
          </w:p>
        </w:tc>
      </w:tr>
      <w:tr>
        <w:tc>
          <w:tcPr>
            <w:tcW w:type="dxa" w:w="3120"/>
            <w:tcBorders>
              <w:top w:val="single" w:color="D6DCE4" w:sz="4"/>
              <w:left w:val="single" w:color="D6DCE4" w:sz="4"/>
              <w:bottom w:val="single" w:color="D6DCE4" w:sz="4"/>
              <w:right w:val="single" w:color="D6DCE4" w:sz="4"/>
            </w:tcBorders>
            <w:tcMar>
              <w:top w:type="dxa" w:w="80"/>
              <w:left w:type="dxa" w:w="120"/>
              <w:bottom w:type="dxa" w:w="80"/>
              <w:right w:type="dxa" w:w="120"/>
            </w:tcMar>
          </w:tcPr>
          <w:p>
            <w:pPr>
              <w:spacing w:after="40"/>
            </w:pPr>
            <w:r>
              <w:rPr>
                <w:rFonts w:ascii="Calibri" w:cs="Calibri" w:eastAsia="Calibri" w:hAnsi="Calibri"/>
                <w:sz w:val="20"/>
                <w:szCs w:val="20"/>
              </w:rPr>
              <w:t xml:space="preserve">• Outcome measurable</w:t>
            </w:r>
          </w:p>
          <w:p>
            <w:pPr>
              <w:spacing w:after="40"/>
            </w:pPr>
            <w:r>
              <w:rPr>
                <w:rFonts w:ascii="Calibri" w:cs="Calibri" w:eastAsia="Calibri" w:hAnsi="Calibri"/>
                <w:sz w:val="20"/>
                <w:szCs w:val="20"/>
              </w:rPr>
              <w:t xml:space="preserve">• Sponsor named</w:t>
            </w:r>
          </w:p>
          <w:p>
            <w:pPr>
              <w:spacing w:after="40"/>
            </w:pPr>
            <w:r>
              <w:rPr>
                <w:rFonts w:ascii="Calibri" w:cs="Calibri" w:eastAsia="Calibri" w:hAnsi="Calibri"/>
                <w:sz w:val="20"/>
                <w:szCs w:val="20"/>
              </w:rPr>
              <w:t xml:space="preserve">• LoB + lifecycle clear</w:t>
            </w:r>
          </w:p>
          <w:p>
            <w:pPr>
              <w:spacing w:after="40"/>
            </w:pPr>
            <w:r>
              <w:rPr>
                <w:rFonts w:ascii="Calibri" w:cs="Calibri" w:eastAsia="Calibri" w:hAnsi="Calibri"/>
                <w:sz w:val="20"/>
                <w:szCs w:val="20"/>
              </w:rPr>
              <w:t xml:space="preserve">• Metrics agreed</w:t>
            </w:r>
          </w:p>
          <w:p>
            <w:pPr>
              <w:spacing w:after="40"/>
            </w:pPr>
            <w:r>
              <w:rPr>
                <w:rFonts w:ascii="Calibri" w:cs="Calibri" w:eastAsia="Calibri" w:hAnsi="Calibri"/>
                <w:sz w:val="20"/>
                <w:szCs w:val="20"/>
              </w:rPr>
              <w:t xml:space="preserve">• Capacity confirmed</w:t>
            </w:r>
          </w:p>
          <w:p>
            <w:pPr>
              <w:spacing w:after="40"/>
            </w:pPr>
            <w:r>
              <w:rPr>
                <w:rFonts w:ascii="Calibri" w:cs="Calibri" w:eastAsia="Calibri" w:hAnsi="Calibri"/>
                <w:sz w:val="20"/>
                <w:szCs w:val="20"/>
              </w:rPr>
              <w:t xml:space="preserve">• Risks surfaced</w:t>
            </w:r>
          </w:p>
        </w:tc>
        <w:tc>
          <w:tcPr>
            <w:tcW w:type="dxa" w:w="3120"/>
            <w:tcBorders>
              <w:top w:val="single" w:color="D6DCE4" w:sz="4"/>
              <w:left w:val="single" w:color="D6DCE4" w:sz="4"/>
              <w:bottom w:val="single" w:color="D6DCE4" w:sz="4"/>
              <w:right w:val="single" w:color="D6DCE4" w:sz="4"/>
            </w:tcBorders>
            <w:tcMar>
              <w:top w:type="dxa" w:w="80"/>
              <w:left w:type="dxa" w:w="120"/>
              <w:bottom w:type="dxa" w:w="80"/>
              <w:right w:type="dxa" w:w="120"/>
            </w:tcMar>
          </w:tcPr>
          <w:p>
            <w:pPr>
              <w:spacing w:after="40"/>
            </w:pPr>
            <w:r>
              <w:rPr>
                <w:rFonts w:ascii="Calibri" w:cs="Calibri" w:eastAsia="Calibri" w:hAnsi="Calibri"/>
                <w:sz w:val="20"/>
                <w:szCs w:val="20"/>
              </w:rPr>
              <w:t xml:space="preserve">• Capability stated</w:t>
            </w:r>
          </w:p>
          <w:p>
            <w:pPr>
              <w:spacing w:after="40"/>
            </w:pPr>
            <w:r>
              <w:rPr>
                <w:rFonts w:ascii="Calibri" w:cs="Calibri" w:eastAsia="Calibri" w:hAnsi="Calibri"/>
                <w:sz w:val="20"/>
                <w:szCs w:val="20"/>
              </w:rPr>
              <w:t xml:space="preserve">• Linked to epic</w:t>
            </w:r>
          </w:p>
          <w:p>
            <w:pPr>
              <w:spacing w:after="40"/>
            </w:pPr>
            <w:r>
              <w:rPr>
                <w:rFonts w:ascii="Calibri" w:cs="Calibri" w:eastAsia="Calibri" w:hAnsi="Calibri"/>
                <w:sz w:val="20"/>
                <w:szCs w:val="20"/>
              </w:rPr>
              <w:t xml:space="preserve">• Persona named</w:t>
            </w:r>
          </w:p>
          <w:p>
            <w:pPr>
              <w:spacing w:after="40"/>
            </w:pPr>
            <w:r>
              <w:rPr>
                <w:rFonts w:ascii="Calibri" w:cs="Calibri" w:eastAsia="Calibri" w:hAnsi="Calibri"/>
                <w:sz w:val="20"/>
                <w:szCs w:val="20"/>
              </w:rPr>
              <w:t xml:space="preserve">• ACs agreed</w:t>
            </w:r>
          </w:p>
          <w:p>
            <w:pPr>
              <w:spacing w:after="40"/>
            </w:pPr>
            <w:r>
              <w:rPr>
                <w:rFonts w:ascii="Calibri" w:cs="Calibri" w:eastAsia="Calibri" w:hAnsi="Calibri"/>
                <w:sz w:val="20"/>
                <w:szCs w:val="20"/>
              </w:rPr>
              <w:t xml:space="preserve">• Story map drafted</w:t>
            </w:r>
          </w:p>
          <w:p>
            <w:pPr>
              <w:spacing w:after="40"/>
            </w:pPr>
            <w:r>
              <w:rPr>
                <w:rFonts w:ascii="Calibri" w:cs="Calibri" w:eastAsia="Calibri" w:hAnsi="Calibri"/>
                <w:sz w:val="20"/>
                <w:szCs w:val="20"/>
              </w:rPr>
              <w:t xml:space="preserve">• Dependencies surfaced</w:t>
            </w:r>
          </w:p>
        </w:tc>
        <w:tc>
          <w:tcPr>
            <w:tcW w:type="dxa" w:w="3120"/>
            <w:tcBorders>
              <w:top w:val="single" w:color="D6DCE4" w:sz="4"/>
              <w:left w:val="single" w:color="D6DCE4" w:sz="4"/>
              <w:bottom w:val="single" w:color="D6DCE4" w:sz="4"/>
              <w:right w:val="single" w:color="D6DCE4" w:sz="4"/>
            </w:tcBorders>
            <w:tcMar>
              <w:top w:type="dxa" w:w="80"/>
              <w:left w:type="dxa" w:w="120"/>
              <w:bottom w:type="dxa" w:w="80"/>
              <w:right w:type="dxa" w:w="120"/>
            </w:tcMar>
          </w:tcPr>
          <w:p>
            <w:pPr>
              <w:spacing w:after="40"/>
            </w:pPr>
            <w:r>
              <w:rPr>
                <w:rFonts w:ascii="Calibri" w:cs="Calibri" w:eastAsia="Calibri" w:hAnsi="Calibri"/>
                <w:sz w:val="20"/>
                <w:szCs w:val="20"/>
              </w:rPr>
              <w:t xml:space="preserve">• Template complete</w:t>
            </w:r>
          </w:p>
          <w:p>
            <w:pPr>
              <w:spacing w:after="40"/>
            </w:pPr>
            <w:r>
              <w:rPr>
                <w:rFonts w:ascii="Calibri" w:cs="Calibri" w:eastAsia="Calibri" w:hAnsi="Calibri"/>
                <w:sz w:val="20"/>
                <w:szCs w:val="20"/>
              </w:rPr>
              <w:t xml:space="preserve">• ACs binary + testable</w:t>
            </w:r>
          </w:p>
          <w:p>
            <w:pPr>
              <w:spacing w:after="40"/>
            </w:pPr>
            <w:r>
              <w:rPr>
                <w:rFonts w:ascii="Calibri" w:cs="Calibri" w:eastAsia="Calibri" w:hAnsi="Calibri"/>
                <w:sz w:val="20"/>
                <w:szCs w:val="20"/>
              </w:rPr>
              <w:t xml:space="preserve">• Sources accessible</w:t>
            </w:r>
          </w:p>
          <w:p>
            <w:pPr>
              <w:spacing w:after="40"/>
            </w:pPr>
            <w:r>
              <w:rPr>
                <w:rFonts w:ascii="Calibri" w:cs="Calibri" w:eastAsia="Calibri" w:hAnsi="Calibri"/>
                <w:sz w:val="20"/>
                <w:szCs w:val="20"/>
              </w:rPr>
              <w:t xml:space="preserve">• Rules unambiguous</w:t>
            </w:r>
          </w:p>
          <w:p>
            <w:pPr>
              <w:spacing w:after="40"/>
            </w:pPr>
            <w:r>
              <w:rPr>
                <w:rFonts w:ascii="Calibri" w:cs="Calibri" w:eastAsia="Calibri" w:hAnsi="Calibri"/>
                <w:sz w:val="20"/>
                <w:szCs w:val="20"/>
              </w:rPr>
              <w:t xml:space="preserve">• Linked to feature</w:t>
            </w:r>
          </w:p>
          <w:p>
            <w:pPr>
              <w:spacing w:after="40"/>
            </w:pPr>
            <w:r>
              <w:rPr>
                <w:rFonts w:ascii="Calibri" w:cs="Calibri" w:eastAsia="Calibri" w:hAnsi="Calibri"/>
                <w:sz w:val="20"/>
                <w:szCs w:val="20"/>
              </w:rPr>
              <w:t xml:space="preserve">• Three-amigos done</w:t>
            </w:r>
          </w:p>
        </w:tc>
      </w:tr>
      <w:tr>
        <w:tc>
          <w:tcPr>
            <w:tcW w:type="dxa" w:w="3120"/>
            <w:tcBorders>
              <w:top w:val="single" w:color="D6DCE4" w:sz="4"/>
              <w:left w:val="single" w:color="D6DCE4" w:sz="4"/>
              <w:bottom w:val="single" w:color="D6DCE4" w:sz="4"/>
              <w:right w:val="single" w:color="D6DCE4" w:sz="4"/>
            </w:tcBorders>
            <w:shd w:fill="E5EAF0" w:val="clear"/>
            <w:tcMar>
              <w:top w:type="dxa" w:w="100"/>
              <w:left w:type="dxa" w:w="140"/>
              <w:bottom w:type="dxa" w:w="100"/>
              <w:right w:type="dxa" w:w="140"/>
            </w:tcMar>
          </w:tcPr>
          <w:p>
            <w:pPr>
              <w:spacing w:after="40"/>
            </w:pPr>
            <w:r>
              <w:rPr>
                <w:rFonts w:ascii="Calibri" w:cs="Calibri" w:eastAsia="Calibri" w:hAnsi="Calibri"/>
                <w:b/>
                <w:bCs/>
                <w:color w:val="0F2A4A"/>
                <w:sz w:val="20"/>
                <w:szCs w:val="20"/>
              </w:rPr>
              <w:t xml:space="preserve">DONE</w:t>
            </w:r>
          </w:p>
        </w:tc>
        <w:tc>
          <w:tcPr>
            <w:tcW w:type="dxa" w:w="3120"/>
            <w:tcBorders>
              <w:top w:val="single" w:color="D6DCE4" w:sz="4"/>
              <w:left w:val="single" w:color="D6DCE4" w:sz="4"/>
              <w:bottom w:val="single" w:color="D6DCE4" w:sz="4"/>
              <w:right w:val="single" w:color="D6DCE4" w:sz="4"/>
            </w:tcBorders>
            <w:shd w:fill="E5EAF0" w:val="clear"/>
            <w:tcMar>
              <w:top w:type="dxa" w:w="100"/>
              <w:left w:type="dxa" w:w="140"/>
              <w:bottom w:type="dxa" w:w="100"/>
              <w:right w:type="dxa" w:w="140"/>
            </w:tcMar>
          </w:tcPr>
          <w:p>
            <w:pPr>
              <w:spacing w:after="40"/>
            </w:pPr>
            <w:r>
              <w:rPr>
                <w:rFonts w:ascii="Calibri" w:cs="Calibri" w:eastAsia="Calibri" w:hAnsi="Calibri"/>
                <w:b/>
                <w:bCs/>
                <w:color w:val="1B5E7A"/>
                <w:sz w:val="20"/>
                <w:szCs w:val="20"/>
              </w:rPr>
              <w:t xml:space="preserve">DONE</w:t>
            </w:r>
          </w:p>
        </w:tc>
        <w:tc>
          <w:tcPr>
            <w:tcW w:type="dxa" w:w="3120"/>
            <w:tcBorders>
              <w:top w:val="single" w:color="D6DCE4" w:sz="4"/>
              <w:left w:val="single" w:color="D6DCE4" w:sz="4"/>
              <w:bottom w:val="single" w:color="D6DCE4" w:sz="4"/>
              <w:right w:val="single" w:color="D6DCE4" w:sz="4"/>
            </w:tcBorders>
            <w:shd w:fill="E5EAF0" w:val="clear"/>
            <w:tcMar>
              <w:top w:type="dxa" w:w="100"/>
              <w:left w:type="dxa" w:w="140"/>
              <w:bottom w:type="dxa" w:w="100"/>
              <w:right w:type="dxa" w:w="140"/>
            </w:tcMar>
          </w:tcPr>
          <w:p>
            <w:pPr>
              <w:spacing w:after="40"/>
            </w:pPr>
            <w:r>
              <w:rPr>
                <w:rFonts w:ascii="Calibri" w:cs="Calibri" w:eastAsia="Calibri" w:hAnsi="Calibri"/>
                <w:b/>
                <w:bCs/>
                <w:color w:val="8a6a1f"/>
                <w:sz w:val="20"/>
                <w:szCs w:val="20"/>
              </w:rPr>
              <w:t xml:space="preserve">DONE</w:t>
            </w:r>
          </w:p>
        </w:tc>
      </w:tr>
      <w:tr>
        <w:tc>
          <w:tcPr>
            <w:tcW w:type="dxa" w:w="3120"/>
            <w:tcBorders>
              <w:top w:val="single" w:color="D6DCE4" w:sz="4"/>
              <w:left w:val="single" w:color="D6DCE4" w:sz="4"/>
              <w:bottom w:val="single" w:color="D6DCE4" w:sz="4"/>
              <w:right w:val="single" w:color="D6DCE4" w:sz="4"/>
            </w:tcBorders>
            <w:tcMar>
              <w:top w:type="dxa" w:w="80"/>
              <w:left w:type="dxa" w:w="120"/>
              <w:bottom w:type="dxa" w:w="80"/>
              <w:right w:type="dxa" w:w="120"/>
            </w:tcMar>
          </w:tcPr>
          <w:p>
            <w:pPr>
              <w:spacing w:after="40"/>
            </w:pPr>
            <w:r>
              <w:rPr>
                <w:rFonts w:ascii="Calibri" w:cs="Calibri" w:eastAsia="Calibri" w:hAnsi="Calibri"/>
                <w:sz w:val="20"/>
                <w:szCs w:val="20"/>
              </w:rPr>
              <w:t xml:space="preserve">• Outcome measured</w:t>
            </w:r>
          </w:p>
          <w:p>
            <w:pPr>
              <w:spacing w:after="40"/>
            </w:pPr>
            <w:r>
              <w:rPr>
                <w:rFonts w:ascii="Calibri" w:cs="Calibri" w:eastAsia="Calibri" w:hAnsi="Calibri"/>
                <w:sz w:val="20"/>
                <w:szCs w:val="20"/>
              </w:rPr>
              <w:t xml:space="preserve">• Features delivered</w:t>
            </w:r>
          </w:p>
          <w:p>
            <w:pPr>
              <w:spacing w:after="40"/>
            </w:pPr>
            <w:r>
              <w:rPr>
                <w:rFonts w:ascii="Calibri" w:cs="Calibri" w:eastAsia="Calibri" w:hAnsi="Calibri"/>
                <w:sz w:val="20"/>
                <w:szCs w:val="20"/>
              </w:rPr>
              <w:t xml:space="preserve">• Sponsor confirms value</w:t>
            </w:r>
          </w:p>
          <w:p>
            <w:pPr>
              <w:spacing w:after="40"/>
            </w:pPr>
            <w:r>
              <w:rPr>
                <w:rFonts w:ascii="Calibri" w:cs="Calibri" w:eastAsia="Calibri" w:hAnsi="Calibri"/>
                <w:sz w:val="20"/>
                <w:szCs w:val="20"/>
              </w:rPr>
              <w:t xml:space="preserve">• Retro complete</w:t>
            </w:r>
          </w:p>
          <w:p>
            <w:pPr>
              <w:spacing w:after="40"/>
            </w:pPr>
            <w:r>
              <w:rPr>
                <w:rFonts w:ascii="Calibri" w:cs="Calibri" w:eastAsia="Calibri" w:hAnsi="Calibri"/>
                <w:sz w:val="20"/>
                <w:szCs w:val="20"/>
              </w:rPr>
              <w:t xml:space="preserve">• Run-state transferred</w:t>
            </w:r>
          </w:p>
        </w:tc>
        <w:tc>
          <w:tcPr>
            <w:tcW w:type="dxa" w:w="3120"/>
            <w:tcBorders>
              <w:top w:val="single" w:color="D6DCE4" w:sz="4"/>
              <w:left w:val="single" w:color="D6DCE4" w:sz="4"/>
              <w:bottom w:val="single" w:color="D6DCE4" w:sz="4"/>
              <w:right w:val="single" w:color="D6DCE4" w:sz="4"/>
            </w:tcBorders>
            <w:tcMar>
              <w:top w:type="dxa" w:w="80"/>
              <w:left w:type="dxa" w:w="120"/>
              <w:bottom w:type="dxa" w:w="80"/>
              <w:right w:type="dxa" w:w="120"/>
            </w:tcMar>
          </w:tcPr>
          <w:p>
            <w:pPr>
              <w:spacing w:after="40"/>
            </w:pPr>
            <w:r>
              <w:rPr>
                <w:rFonts w:ascii="Calibri" w:cs="Calibri" w:eastAsia="Calibri" w:hAnsi="Calibri"/>
                <w:sz w:val="20"/>
                <w:szCs w:val="20"/>
              </w:rPr>
              <w:t xml:space="preserve">• Stories closed</w:t>
            </w:r>
          </w:p>
          <w:p>
            <w:pPr>
              <w:spacing w:after="40"/>
            </w:pPr>
            <w:r>
              <w:rPr>
                <w:rFonts w:ascii="Calibri" w:cs="Calibri" w:eastAsia="Calibri" w:hAnsi="Calibri"/>
                <w:sz w:val="20"/>
                <w:szCs w:val="20"/>
              </w:rPr>
              <w:t xml:space="preserve">• E2E tested</w:t>
            </w:r>
          </w:p>
          <w:p>
            <w:pPr>
              <w:spacing w:after="40"/>
            </w:pPr>
            <w:r>
              <w:rPr>
                <w:rFonts w:ascii="Calibri" w:cs="Calibri" w:eastAsia="Calibri" w:hAnsi="Calibri"/>
                <w:sz w:val="20"/>
                <w:szCs w:val="20"/>
              </w:rPr>
              <w:t xml:space="preserve">• Non-functionals met</w:t>
            </w:r>
          </w:p>
          <w:p>
            <w:pPr>
              <w:spacing w:after="40"/>
            </w:pPr>
            <w:r>
              <w:rPr>
                <w:rFonts w:ascii="Calibri" w:cs="Calibri" w:eastAsia="Calibri" w:hAnsi="Calibri"/>
                <w:sz w:val="20"/>
                <w:szCs w:val="20"/>
              </w:rPr>
              <w:t xml:space="preserve">• PO signed off</w:t>
            </w:r>
          </w:p>
          <w:p>
            <w:pPr>
              <w:spacing w:after="40"/>
            </w:pPr>
            <w:r>
              <w:rPr>
                <w:rFonts w:ascii="Calibri" w:cs="Calibri" w:eastAsia="Calibri" w:hAnsi="Calibri"/>
                <w:sz w:val="20"/>
                <w:szCs w:val="20"/>
              </w:rPr>
              <w:t xml:space="preserve">• Live in prod</w:t>
            </w:r>
          </w:p>
          <w:p>
            <w:pPr>
              <w:spacing w:after="40"/>
            </w:pPr>
            <w:r>
              <w:rPr>
                <w:rFonts w:ascii="Calibri" w:cs="Calibri" w:eastAsia="Calibri" w:hAnsi="Calibri"/>
                <w:sz w:val="20"/>
                <w:szCs w:val="20"/>
              </w:rPr>
              <w:t xml:space="preserve">• Docs updated</w:t>
            </w:r>
          </w:p>
        </w:tc>
        <w:tc>
          <w:tcPr>
            <w:tcW w:type="dxa" w:w="3120"/>
            <w:tcBorders>
              <w:top w:val="single" w:color="D6DCE4" w:sz="4"/>
              <w:left w:val="single" w:color="D6DCE4" w:sz="4"/>
              <w:bottom w:val="single" w:color="D6DCE4" w:sz="4"/>
              <w:right w:val="single" w:color="D6DCE4" w:sz="4"/>
            </w:tcBorders>
            <w:tcMar>
              <w:top w:type="dxa" w:w="80"/>
              <w:left w:type="dxa" w:w="120"/>
              <w:bottom w:type="dxa" w:w="80"/>
              <w:right w:type="dxa" w:w="120"/>
            </w:tcMar>
          </w:tcPr>
          <w:p>
            <w:pPr>
              <w:spacing w:after="40"/>
            </w:pPr>
            <w:r>
              <w:rPr>
                <w:rFonts w:ascii="Calibri" w:cs="Calibri" w:eastAsia="Calibri" w:hAnsi="Calibri"/>
                <w:sz w:val="20"/>
                <w:szCs w:val="20"/>
              </w:rPr>
              <w:t xml:space="preserve">• ACs met</w:t>
            </w:r>
          </w:p>
          <w:p>
            <w:pPr>
              <w:spacing w:after="40"/>
            </w:pPr>
            <w:r>
              <w:rPr>
                <w:rFonts w:ascii="Calibri" w:cs="Calibri" w:eastAsia="Calibri" w:hAnsi="Calibri"/>
                <w:sz w:val="20"/>
                <w:szCs w:val="20"/>
              </w:rPr>
              <w:t xml:space="preserve">• Code reviewed</w:t>
            </w:r>
          </w:p>
          <w:p>
            <w:pPr>
              <w:spacing w:after="40"/>
            </w:pPr>
            <w:r>
              <w:rPr>
                <w:rFonts w:ascii="Calibri" w:cs="Calibri" w:eastAsia="Calibri" w:hAnsi="Calibri"/>
                <w:sz w:val="20"/>
                <w:szCs w:val="20"/>
              </w:rPr>
              <w:t xml:space="preserve">• DQ checks pass</w:t>
            </w:r>
          </w:p>
          <w:p>
            <w:pPr>
              <w:spacing w:after="40"/>
            </w:pPr>
            <w:r>
              <w:rPr>
                <w:rFonts w:ascii="Calibri" w:cs="Calibri" w:eastAsia="Calibri" w:hAnsi="Calibri"/>
                <w:sz w:val="20"/>
                <w:szCs w:val="20"/>
              </w:rPr>
              <w:t xml:space="preserve">• Demo accepted</w:t>
            </w:r>
          </w:p>
          <w:p>
            <w:pPr>
              <w:spacing w:after="40"/>
            </w:pPr>
            <w:r>
              <w:rPr>
                <w:rFonts w:ascii="Calibri" w:cs="Calibri" w:eastAsia="Calibri" w:hAnsi="Calibri"/>
                <w:sz w:val="20"/>
                <w:szCs w:val="20"/>
              </w:rPr>
              <w:t xml:space="preserve">• Docs updated</w:t>
            </w:r>
          </w:p>
          <w:p>
            <w:pPr>
              <w:spacing w:after="40"/>
            </w:pPr>
            <w:r>
              <w:rPr>
                <w:rFonts w:ascii="Calibri" w:cs="Calibri" w:eastAsia="Calibri" w:hAnsi="Calibri"/>
                <w:sz w:val="20"/>
                <w:szCs w:val="20"/>
              </w:rPr>
              <w:t xml:space="preserve">• Deployed</w:t>
            </w:r>
          </w:p>
        </w:tc>
      </w:tr>
    </w:tbl>
    <w:p>
      <w:pPr>
        <w:spacing w:before="240"/>
        <w:jc w:val="center"/>
      </w:pPr>
      <w:r>
        <w:rPr>
          <w:rFonts w:ascii="Calibri" w:cs="Calibri" w:eastAsia="Calibri" w:hAnsi="Calibri"/>
          <w:b/>
          <w:bCs/>
          <w:color w:val="1B5E7A"/>
          <w:sz w:val="24"/>
          <w:szCs w:val="24"/>
        </w:rPr>
        <w:t xml:space="preserve">Golden Rule: ready stories make happy sprints — and ready epics make happy quarters.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8"/>
        <w:szCs w:val="18"/>
      </w:rPr>
      <w:t xml:space="preserve">GSE Story Excellence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F2A4A"/>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B5E7A"/>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0F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2026-05-05T21:29:31.607Z</dcterms:created>
  <dcterms:modified xsi:type="dcterms:W3CDTF">2026-05-05T21:29:31.607Z</dcterms:modified>
</cp:coreProperties>
</file>

<file path=docProps/custom.xml><?xml version="1.0" encoding="utf-8"?>
<Properties xmlns="http://schemas.openxmlformats.org/officeDocument/2006/custom-properties" xmlns:vt="http://schemas.openxmlformats.org/officeDocument/2006/docPropsVTypes"/>
</file>