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3CCE9" w14:textId="77777777" w:rsidR="00F53EDB" w:rsidRDefault="008903EF" w:rsidP="008903EF">
      <w:pPr>
        <w:pStyle w:val="Heading1"/>
      </w:pPr>
      <w:r>
        <w:t>Product Requirement Document</w:t>
      </w:r>
    </w:p>
    <w:p w14:paraId="65B8D850" w14:textId="77777777" w:rsidR="008903EF" w:rsidRDefault="008903EF" w:rsidP="008903EF"/>
    <w:p w14:paraId="7F4F74D0" w14:textId="7516831B" w:rsidR="008903EF" w:rsidRDefault="009972A0" w:rsidP="008903EF">
      <w:pPr>
        <w:pStyle w:val="Heading2"/>
      </w:pPr>
      <w:r>
        <w:t>Accountancy Externalisation</w:t>
      </w:r>
      <w:r w:rsidR="007827EF">
        <w:t xml:space="preserve"> </w:t>
      </w:r>
      <w:r w:rsidR="009C0F8B">
        <w:t>– Republic of Ireland.</w:t>
      </w:r>
    </w:p>
    <w:p w14:paraId="26414427" w14:textId="77777777" w:rsidR="008903EF" w:rsidRDefault="008903EF" w:rsidP="008903EF"/>
    <w:p w14:paraId="30E057EC" w14:textId="77777777" w:rsidR="008903EF" w:rsidRDefault="008903EF" w:rsidP="008903EF">
      <w:pPr>
        <w:pStyle w:val="Heading3"/>
      </w:pPr>
      <w:r>
        <w:t xml:space="preserve">Background </w:t>
      </w:r>
    </w:p>
    <w:p w14:paraId="7348BC75" w14:textId="154B9889" w:rsidR="00630AC3" w:rsidRDefault="00C043F8" w:rsidP="00052E29">
      <w:pPr>
        <w:pStyle w:val="NoSpacing"/>
      </w:pPr>
      <w:r w:rsidRPr="00C043F8">
        <w:t>The current accounting module in the Merlin system does not support the two-thirds VAT rule in Ireland. This limitation can lead to inconsistencies that prevent customers from receiving accurate sales values, disrupt daily operations, and result in non-compliance with regulatory and financial standards.</w:t>
      </w:r>
    </w:p>
    <w:p w14:paraId="4F502C07" w14:textId="1E04FEE8" w:rsidR="008903EF" w:rsidRDefault="008903EF" w:rsidP="008903EF">
      <w:pPr>
        <w:pStyle w:val="Heading3"/>
      </w:pPr>
      <w:r>
        <w:t>Governance (</w:t>
      </w:r>
      <w:r w:rsidR="005C5224">
        <w:t xml:space="preserve">  </w:t>
      </w:r>
      <w:r>
        <w:t>)</w:t>
      </w:r>
    </w:p>
    <w:p w14:paraId="51B5D9B1" w14:textId="77777777" w:rsidR="008903EF" w:rsidRDefault="008903EF" w:rsidP="008903EF">
      <w:pPr>
        <w:pStyle w:val="ListParagraph"/>
        <w:numPr>
          <w:ilvl w:val="0"/>
          <w:numId w:val="1"/>
        </w:numPr>
      </w:pPr>
      <w:r>
        <w:t>Product – Micheal Aderinto</w:t>
      </w:r>
    </w:p>
    <w:p w14:paraId="5D5E544F" w14:textId="50442F0D" w:rsidR="00DE3E85" w:rsidRDefault="00DE3E85" w:rsidP="008903EF">
      <w:pPr>
        <w:pStyle w:val="ListParagraph"/>
        <w:numPr>
          <w:ilvl w:val="0"/>
          <w:numId w:val="1"/>
        </w:numPr>
      </w:pPr>
      <w:r>
        <w:t>Business Analysis – Heather Gower</w:t>
      </w:r>
    </w:p>
    <w:p w14:paraId="486D2A46" w14:textId="737A0084" w:rsidR="008903EF" w:rsidRDefault="008903EF" w:rsidP="008903EF">
      <w:pPr>
        <w:pStyle w:val="ListParagraph"/>
        <w:numPr>
          <w:ilvl w:val="0"/>
          <w:numId w:val="1"/>
        </w:numPr>
      </w:pPr>
      <w:r>
        <w:t xml:space="preserve">Engineering – </w:t>
      </w:r>
      <w:r w:rsidR="00D67C2B">
        <w:t>Eduardo</w:t>
      </w:r>
      <w:r w:rsidR="0047551A">
        <w:t xml:space="preserve"> Soroa Pina</w:t>
      </w:r>
    </w:p>
    <w:p w14:paraId="14E6C465" w14:textId="4BBC99C3" w:rsidR="00632B82" w:rsidRDefault="00632B82" w:rsidP="008903EF">
      <w:pPr>
        <w:pStyle w:val="ListParagraph"/>
        <w:numPr>
          <w:ilvl w:val="0"/>
          <w:numId w:val="1"/>
        </w:numPr>
      </w:pPr>
      <w:r>
        <w:t xml:space="preserve">Quality Assurance </w:t>
      </w:r>
      <w:r w:rsidR="00CD036A">
        <w:t>–</w:t>
      </w:r>
      <w:r>
        <w:t xml:space="preserve"> </w:t>
      </w:r>
      <w:r w:rsidR="00CD036A">
        <w:t>Luca Santarelli</w:t>
      </w:r>
    </w:p>
    <w:p w14:paraId="37C8DFFE" w14:textId="77777777" w:rsidR="00DD599B" w:rsidRPr="008903EF" w:rsidRDefault="00DD599B" w:rsidP="00DD599B">
      <w:pPr>
        <w:pStyle w:val="ListParagraph"/>
      </w:pPr>
    </w:p>
    <w:p w14:paraId="3045F7E7" w14:textId="77777777" w:rsidR="008903EF" w:rsidRPr="008903EF" w:rsidRDefault="008903EF" w:rsidP="00DD599B">
      <w:pPr>
        <w:pStyle w:val="Heading3"/>
      </w:pPr>
      <w:r>
        <w:t>Objectives &amp; Scope</w:t>
      </w:r>
    </w:p>
    <w:tbl>
      <w:tblPr>
        <w:tblW w:w="9440" w:type="dxa"/>
        <w:tblLayout w:type="fixed"/>
        <w:tblLook w:val="0400" w:firstRow="0" w:lastRow="0" w:firstColumn="0" w:lastColumn="0" w:noHBand="0" w:noVBand="1"/>
      </w:tblPr>
      <w:tblGrid>
        <w:gridCol w:w="2071"/>
        <w:gridCol w:w="7369"/>
      </w:tblGrid>
      <w:tr w:rsidR="008903EF" w:rsidRPr="008903EF" w14:paraId="0F1638B2" w14:textId="77777777" w:rsidTr="00E63361">
        <w:tc>
          <w:tcPr>
            <w:tcW w:w="2071"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07443096" w14:textId="77777777" w:rsidR="008903EF" w:rsidRPr="008903EF" w:rsidRDefault="008903EF" w:rsidP="008903EF">
            <w:pPr>
              <w:spacing w:after="0" w:line="240" w:lineRule="auto"/>
              <w:rPr>
                <w:rFonts w:ascii="Work Sans" w:eastAsia="Work Sans" w:hAnsi="Work Sans" w:cs="Work Sans"/>
                <w:b/>
                <w:color w:val="000000"/>
                <w:kern w:val="0"/>
                <w:sz w:val="20"/>
                <w:szCs w:val="20"/>
                <w:lang w:eastAsia="en-GB"/>
                <w14:ligatures w14:val="none"/>
              </w:rPr>
            </w:pPr>
            <w:r w:rsidRPr="008903EF">
              <w:rPr>
                <w:rFonts w:ascii="Work Sans" w:eastAsia="Work Sans" w:hAnsi="Work Sans" w:cs="Work Sans"/>
                <w:b/>
                <w:color w:val="000000"/>
                <w:kern w:val="0"/>
                <w:sz w:val="20"/>
                <w:szCs w:val="20"/>
                <w:u w:val="single"/>
                <w:lang w:eastAsia="en-GB"/>
                <w14:ligatures w14:val="none"/>
              </w:rPr>
              <w:t>What</w:t>
            </w:r>
            <w:r w:rsidRPr="008903EF">
              <w:rPr>
                <w:rFonts w:ascii="Work Sans" w:eastAsia="Work Sans" w:hAnsi="Work Sans" w:cs="Work Sans"/>
                <w:b/>
                <w:color w:val="000000"/>
                <w:kern w:val="0"/>
                <w:sz w:val="20"/>
                <w:szCs w:val="20"/>
                <w:lang w:eastAsia="en-GB"/>
                <w14:ligatures w14:val="none"/>
              </w:rPr>
              <w:t xml:space="preserve"> is the problem we’re trying to answer?</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6A118" w14:textId="6B2AE141" w:rsidR="001F6E95" w:rsidRDefault="00101A75" w:rsidP="00C71BA2">
            <w:r w:rsidRPr="00101A75">
              <w:rPr>
                <w:b/>
                <w:bCs/>
                <w:i/>
                <w:iCs/>
              </w:rPr>
              <w:t xml:space="preserve">Problem </w:t>
            </w:r>
            <w:r w:rsidR="00273527">
              <w:rPr>
                <w:b/>
                <w:bCs/>
                <w:i/>
                <w:iCs/>
              </w:rPr>
              <w:t>Statement</w:t>
            </w:r>
            <w:r w:rsidRPr="00101A75">
              <w:rPr>
                <w:b/>
                <w:bCs/>
                <w:i/>
                <w:iCs/>
              </w:rPr>
              <w:t>:</w:t>
            </w:r>
          </w:p>
          <w:p w14:paraId="4FD4B84A" w14:textId="77777777" w:rsidR="006148C3" w:rsidRDefault="006148C3" w:rsidP="00C71BA2">
            <w:r w:rsidRPr="006148C3">
              <w:t>As Merlin PMS prepares to expand into the Irish market, the current financial core of the system presents significant challenges. The existing pricing and tax calculation frameworks are not equipped to handle the EU two-thirds VAT rule, which is critical for compliance in this market. This limitation threatens operational efficiency and poses risks in regulatory adherence, potentially alienating new users in Ireland.</w:t>
            </w:r>
          </w:p>
          <w:p w14:paraId="3A449BB2" w14:textId="1809ECF9" w:rsidR="00D67C2B" w:rsidRDefault="00E009F5" w:rsidP="00C71BA2">
            <w:r w:rsidRPr="00E009F5">
              <w:rPr>
                <w:b/>
                <w:bCs/>
                <w:i/>
                <w:iCs/>
              </w:rPr>
              <w:t>Impact of the Problem:</w:t>
            </w:r>
            <w:r>
              <w:t xml:space="preserve"> </w:t>
            </w:r>
          </w:p>
          <w:p w14:paraId="456ACE32" w14:textId="77777777" w:rsidR="00A44461" w:rsidRPr="00A44461" w:rsidRDefault="00A44461" w:rsidP="00A44461">
            <w:r w:rsidRPr="00A44461">
              <w:rPr>
                <w:u w:val="single"/>
              </w:rPr>
              <w:t>Scalability and Global Expansion:</w:t>
            </w:r>
            <w:r w:rsidRPr="00A44461">
              <w:t xml:space="preserve"> Limitations in tax calculations to the UK and ROI hinder the scalability of the system and its ability to cater to a global customer base, particularly in Ireland.</w:t>
            </w:r>
          </w:p>
          <w:p w14:paraId="2D7527EF" w14:textId="30922F81" w:rsidR="00A44461" w:rsidRPr="00A44461" w:rsidRDefault="00A44461" w:rsidP="00A44461">
            <w:r w:rsidRPr="00A44461">
              <w:rPr>
                <w:u w:val="single"/>
              </w:rPr>
              <w:t>Financial Accuracy and Compliance:</w:t>
            </w:r>
            <w:r w:rsidRPr="00A44461">
              <w:t xml:space="preserve"> Inaccurate price calculations and tax handling can lead to financial discrepancies, non-compliance with Irish</w:t>
            </w:r>
            <w:r w:rsidR="007E4D85">
              <w:t>/EU</w:t>
            </w:r>
            <w:r w:rsidRPr="00A44461">
              <w:t xml:space="preserve"> tax regulations, and potential financial penalties or audits.</w:t>
            </w:r>
          </w:p>
          <w:p w14:paraId="0289D884" w14:textId="0BB9848F" w:rsidR="00A44461" w:rsidRPr="00A44461" w:rsidRDefault="00A44461" w:rsidP="00A44461">
            <w:r w:rsidRPr="00E61548">
              <w:rPr>
                <w:u w:val="single"/>
              </w:rPr>
              <w:t>Customer Satisfaction:</w:t>
            </w:r>
            <w:r w:rsidRPr="00A44461">
              <w:t xml:space="preserve"> Price inconsistencies impacting </w:t>
            </w:r>
            <w:r w:rsidR="006C1EDF">
              <w:t>customer</w:t>
            </w:r>
            <w:r w:rsidRPr="00A44461">
              <w:t xml:space="preserve"> trust in </w:t>
            </w:r>
            <w:r w:rsidR="002B226E">
              <w:t>Merlin.</w:t>
            </w:r>
          </w:p>
          <w:p w14:paraId="2189958C" w14:textId="779A66C7" w:rsidR="00C71BA2" w:rsidRDefault="00A44461" w:rsidP="00A44461">
            <w:pPr>
              <w:rPr>
                <w:u w:val="single"/>
              </w:rPr>
            </w:pPr>
            <w:r w:rsidRPr="00A44461">
              <w:rPr>
                <w:u w:val="single"/>
              </w:rPr>
              <w:t xml:space="preserve">Competitive Disadvantage: </w:t>
            </w:r>
            <w:r w:rsidRPr="00B836CB">
              <w:t xml:space="preserve">Inconsistencies in pricing and tax calculations may put the business at a competitive disadvantage compared to </w:t>
            </w:r>
            <w:r w:rsidR="00B836CB" w:rsidRPr="00B836CB">
              <w:t>our competitors.</w:t>
            </w:r>
            <w:r w:rsidRPr="00A44461">
              <w:rPr>
                <w:u w:val="single"/>
              </w:rPr>
              <w:t xml:space="preserve"> </w:t>
            </w:r>
          </w:p>
          <w:p w14:paraId="1F8293B4" w14:textId="77777777" w:rsidR="00E61548" w:rsidRDefault="00E61548" w:rsidP="00A44461">
            <w:pPr>
              <w:rPr>
                <w:u w:val="single"/>
              </w:rPr>
            </w:pPr>
          </w:p>
          <w:p w14:paraId="556E9AA0" w14:textId="77777777" w:rsidR="00CD0B78" w:rsidRDefault="00CD0B78" w:rsidP="00A44461">
            <w:pPr>
              <w:rPr>
                <w:u w:val="single"/>
              </w:rPr>
            </w:pPr>
          </w:p>
          <w:p w14:paraId="2D571B62" w14:textId="77777777" w:rsidR="00E61548" w:rsidRDefault="00E61548" w:rsidP="00A44461"/>
          <w:p w14:paraId="706B9E8C" w14:textId="77777777" w:rsidR="001A299B" w:rsidRDefault="001A299B" w:rsidP="00C71BA2">
            <w:pPr>
              <w:rPr>
                <w:b/>
                <w:bCs/>
              </w:rPr>
            </w:pPr>
            <w:r w:rsidRPr="00C71BA2">
              <w:rPr>
                <w:b/>
                <w:bCs/>
              </w:rPr>
              <w:lastRenderedPageBreak/>
              <w:t>Goals and Objectives:</w:t>
            </w:r>
          </w:p>
          <w:p w14:paraId="277F53ED" w14:textId="5A75ADAC" w:rsidR="00C71BA2" w:rsidRDefault="00C71BA2" w:rsidP="00C71BA2">
            <w:r>
              <w:rPr>
                <w:b/>
                <w:bCs/>
              </w:rPr>
              <w:t xml:space="preserve">Goal: </w:t>
            </w:r>
            <w:r w:rsidR="00C85E50" w:rsidRPr="00C85E50">
              <w:t xml:space="preserve">Enhance the financial core of Merlin PMS to ensure accurate and consistent pricing and tax calculations, including the management of two-thirds VAT. This upgrade will also simplify account management and financial reporting. The goal of this enhancement is to improve system scalability, operational efficiency, regulatory compliance, and user-friendly accessibility within the Merlin </w:t>
            </w:r>
            <w:r w:rsidR="00C85E50">
              <w:t>PMS</w:t>
            </w:r>
            <w:r w:rsidR="00C85E50" w:rsidRPr="00C85E50">
              <w:t>.</w:t>
            </w:r>
          </w:p>
          <w:p w14:paraId="46AAE120" w14:textId="07806CBB" w:rsidR="00C71BA2" w:rsidRPr="00273527" w:rsidRDefault="00C71BA2" w:rsidP="00C71BA2">
            <w:pPr>
              <w:rPr>
                <w:b/>
                <w:bCs/>
              </w:rPr>
            </w:pPr>
            <w:r w:rsidRPr="00273527">
              <w:rPr>
                <w:b/>
                <w:bCs/>
              </w:rPr>
              <w:t>Objectives:</w:t>
            </w:r>
          </w:p>
          <w:p w14:paraId="10D06941" w14:textId="22EBA048" w:rsidR="00C71BA2" w:rsidRPr="00273527" w:rsidRDefault="00C71BA2" w:rsidP="00C71BA2">
            <w:pPr>
              <w:pStyle w:val="ListParagraph"/>
              <w:numPr>
                <w:ilvl w:val="0"/>
                <w:numId w:val="11"/>
              </w:numPr>
              <w:rPr>
                <w:rFonts w:eastAsia="Times New Roman" w:cstheme="minorHAnsi"/>
                <w:color w:val="242424"/>
                <w:kern w:val="0"/>
                <w:u w:val="single"/>
                <w:lang w:eastAsia="en-GB"/>
                <w14:ligatures w14:val="none"/>
              </w:rPr>
            </w:pPr>
            <w:r w:rsidRPr="00273527">
              <w:rPr>
                <w:rFonts w:eastAsia="Times New Roman" w:cstheme="minorHAnsi"/>
                <w:color w:val="242424"/>
                <w:kern w:val="0"/>
                <w:u w:val="single"/>
                <w:lang w:eastAsia="en-GB"/>
                <w14:ligatures w14:val="none"/>
              </w:rPr>
              <w:t xml:space="preserve">Expand Tax </w:t>
            </w:r>
            <w:r w:rsidR="005A31C2">
              <w:rPr>
                <w:rFonts w:eastAsia="Times New Roman" w:cstheme="minorHAnsi"/>
                <w:color w:val="242424"/>
                <w:kern w:val="0"/>
                <w:u w:val="single"/>
                <w:lang w:eastAsia="en-GB"/>
                <w14:ligatures w14:val="none"/>
              </w:rPr>
              <w:t>Handling</w:t>
            </w:r>
            <w:r w:rsidRPr="00273527">
              <w:rPr>
                <w:rFonts w:eastAsia="Times New Roman" w:cstheme="minorHAnsi"/>
                <w:color w:val="242424"/>
                <w:kern w:val="0"/>
                <w:u w:val="single"/>
                <w:lang w:eastAsia="en-GB"/>
                <w14:ligatures w14:val="none"/>
              </w:rPr>
              <w:t>:</w:t>
            </w:r>
          </w:p>
          <w:p w14:paraId="53246CEA" w14:textId="17D91FDD" w:rsidR="00032A51" w:rsidRPr="00032A51" w:rsidRDefault="00032A51" w:rsidP="00032A51">
            <w:pPr>
              <w:pStyle w:val="ListParagraph"/>
              <w:numPr>
                <w:ilvl w:val="1"/>
                <w:numId w:val="11"/>
              </w:numPr>
              <w:rPr>
                <w:rFonts w:eastAsia="Times New Roman" w:cstheme="minorHAnsi"/>
                <w:color w:val="242424"/>
                <w:kern w:val="0"/>
                <w:lang w:eastAsia="en-GB"/>
                <w14:ligatures w14:val="none"/>
              </w:rPr>
            </w:pPr>
            <w:r w:rsidRPr="00032A51">
              <w:rPr>
                <w:rFonts w:eastAsia="Times New Roman" w:cstheme="minorHAnsi"/>
                <w:color w:val="242424"/>
                <w:kern w:val="0"/>
                <w:lang w:eastAsia="en-GB"/>
                <w14:ligatures w14:val="none"/>
              </w:rPr>
              <w:t xml:space="preserve">Objective: Extend tax calculation support beyond the UK and ROI, </w:t>
            </w:r>
            <w:r w:rsidR="0076299F">
              <w:rPr>
                <w:rFonts w:eastAsia="Times New Roman" w:cstheme="minorHAnsi"/>
                <w:color w:val="242424"/>
                <w:kern w:val="0"/>
                <w:lang w:eastAsia="en-GB"/>
                <w14:ligatures w14:val="none"/>
              </w:rPr>
              <w:t>to the</w:t>
            </w:r>
            <w:r w:rsidRPr="00032A51">
              <w:rPr>
                <w:rFonts w:eastAsia="Times New Roman" w:cstheme="minorHAnsi"/>
                <w:color w:val="242424"/>
                <w:kern w:val="0"/>
                <w:lang w:eastAsia="en-GB"/>
                <w14:ligatures w14:val="none"/>
              </w:rPr>
              <w:t xml:space="preserve"> Republic of Ireland.</w:t>
            </w:r>
          </w:p>
          <w:p w14:paraId="64E5389F" w14:textId="377326C6" w:rsidR="00032A51" w:rsidRDefault="00032A51" w:rsidP="00032A51">
            <w:pPr>
              <w:pStyle w:val="ListParagraph"/>
              <w:numPr>
                <w:ilvl w:val="1"/>
                <w:numId w:val="11"/>
              </w:numPr>
              <w:rPr>
                <w:rFonts w:eastAsia="Times New Roman" w:cstheme="minorHAnsi"/>
                <w:color w:val="242424"/>
                <w:kern w:val="0"/>
                <w:lang w:eastAsia="en-GB"/>
                <w14:ligatures w14:val="none"/>
              </w:rPr>
            </w:pPr>
            <w:r w:rsidRPr="00032A51">
              <w:rPr>
                <w:rFonts w:eastAsia="Times New Roman" w:cstheme="minorHAnsi"/>
                <w:color w:val="242424"/>
                <w:kern w:val="0"/>
                <w:lang w:eastAsia="en-GB"/>
                <w14:ligatures w14:val="none"/>
              </w:rPr>
              <w:t>Key Results: Implement tax calculation capabilities for Ireland, including compliance with the two-thirds VAT rule.</w:t>
            </w:r>
          </w:p>
          <w:p w14:paraId="697D2CFC" w14:textId="77777777" w:rsidR="0076299F" w:rsidRPr="00C71BA2" w:rsidRDefault="0076299F" w:rsidP="0076299F">
            <w:pPr>
              <w:pStyle w:val="ListParagraph"/>
              <w:ind w:left="1440"/>
              <w:rPr>
                <w:rFonts w:eastAsia="Times New Roman" w:cstheme="minorHAnsi"/>
                <w:color w:val="242424"/>
                <w:kern w:val="0"/>
                <w:lang w:eastAsia="en-GB"/>
                <w14:ligatures w14:val="none"/>
              </w:rPr>
            </w:pPr>
          </w:p>
          <w:p w14:paraId="5D8757CA" w14:textId="77777777" w:rsidR="00C71BA2" w:rsidRPr="00273527" w:rsidRDefault="00C71BA2" w:rsidP="00C71BA2">
            <w:pPr>
              <w:pStyle w:val="ListParagraph"/>
              <w:numPr>
                <w:ilvl w:val="0"/>
                <w:numId w:val="11"/>
              </w:numPr>
              <w:rPr>
                <w:rFonts w:eastAsia="Times New Roman" w:cstheme="minorHAnsi"/>
                <w:color w:val="242424"/>
                <w:kern w:val="0"/>
                <w:u w:val="single"/>
                <w:lang w:eastAsia="en-GB"/>
                <w14:ligatures w14:val="none"/>
              </w:rPr>
            </w:pPr>
            <w:r w:rsidRPr="00273527">
              <w:rPr>
                <w:rFonts w:eastAsia="Times New Roman" w:cstheme="minorHAnsi"/>
                <w:color w:val="242424"/>
                <w:kern w:val="0"/>
                <w:u w:val="single"/>
                <w:lang w:eastAsia="en-GB"/>
                <w14:ligatures w14:val="none"/>
              </w:rPr>
              <w:t>Optimize Price Calculations:</w:t>
            </w:r>
          </w:p>
          <w:p w14:paraId="5E5180EB" w14:textId="77777777" w:rsidR="0082391D" w:rsidRPr="0082391D" w:rsidRDefault="0082391D" w:rsidP="0082391D">
            <w:pPr>
              <w:pStyle w:val="ListParagraph"/>
              <w:numPr>
                <w:ilvl w:val="1"/>
                <w:numId w:val="11"/>
              </w:numPr>
              <w:rPr>
                <w:rFonts w:eastAsia="Times New Roman" w:cstheme="minorHAnsi"/>
                <w:color w:val="242424"/>
                <w:kern w:val="0"/>
                <w:lang w:eastAsia="en-GB"/>
                <w14:ligatures w14:val="none"/>
              </w:rPr>
            </w:pPr>
            <w:r w:rsidRPr="0082391D">
              <w:rPr>
                <w:rFonts w:eastAsia="Times New Roman" w:cstheme="minorHAnsi"/>
                <w:color w:val="242424"/>
                <w:kern w:val="0"/>
                <w:lang w:eastAsia="en-GB"/>
                <w14:ligatures w14:val="none"/>
              </w:rPr>
              <w:t>Objective: Standardize price calculations across different code locations to eliminate deviations and rounding discrepancies.</w:t>
            </w:r>
          </w:p>
          <w:p w14:paraId="014371DA" w14:textId="77CBAEBB" w:rsidR="0082391D" w:rsidRDefault="0082391D" w:rsidP="0082391D">
            <w:pPr>
              <w:pStyle w:val="ListParagraph"/>
              <w:numPr>
                <w:ilvl w:val="1"/>
                <w:numId w:val="11"/>
              </w:numPr>
              <w:rPr>
                <w:rFonts w:eastAsia="Times New Roman" w:cstheme="minorHAnsi"/>
                <w:color w:val="242424"/>
                <w:kern w:val="0"/>
                <w:lang w:eastAsia="en-GB"/>
                <w14:ligatures w14:val="none"/>
              </w:rPr>
            </w:pPr>
            <w:r w:rsidRPr="0082391D">
              <w:rPr>
                <w:rFonts w:eastAsia="Times New Roman" w:cstheme="minorHAnsi"/>
                <w:color w:val="242424"/>
                <w:kern w:val="0"/>
                <w:lang w:eastAsia="en-GB"/>
                <w14:ligatures w14:val="none"/>
              </w:rPr>
              <w:t>Key Results: Reduce price inconsistencies and improve accuracy, ensuring that customers receive specific sell values without deviations.</w:t>
            </w:r>
          </w:p>
          <w:p w14:paraId="5A3E0D2B" w14:textId="77777777" w:rsidR="0082391D" w:rsidRPr="00C71BA2" w:rsidRDefault="0082391D" w:rsidP="0082391D">
            <w:pPr>
              <w:pStyle w:val="ListParagraph"/>
              <w:ind w:left="1440"/>
              <w:rPr>
                <w:rFonts w:eastAsia="Times New Roman" w:cstheme="minorHAnsi"/>
                <w:color w:val="242424"/>
                <w:kern w:val="0"/>
                <w:lang w:eastAsia="en-GB"/>
                <w14:ligatures w14:val="none"/>
              </w:rPr>
            </w:pPr>
          </w:p>
          <w:p w14:paraId="0EC42349" w14:textId="77777777" w:rsidR="00C71BA2" w:rsidRPr="00273527" w:rsidRDefault="00C71BA2" w:rsidP="00C71BA2">
            <w:pPr>
              <w:pStyle w:val="ListParagraph"/>
              <w:numPr>
                <w:ilvl w:val="0"/>
                <w:numId w:val="11"/>
              </w:numPr>
              <w:rPr>
                <w:rFonts w:eastAsia="Times New Roman" w:cstheme="minorHAnsi"/>
                <w:color w:val="242424"/>
                <w:kern w:val="0"/>
                <w:u w:val="single"/>
                <w:lang w:eastAsia="en-GB"/>
                <w14:ligatures w14:val="none"/>
              </w:rPr>
            </w:pPr>
            <w:r w:rsidRPr="00273527">
              <w:rPr>
                <w:rFonts w:eastAsia="Times New Roman" w:cstheme="minorHAnsi"/>
                <w:color w:val="242424"/>
                <w:kern w:val="0"/>
                <w:u w:val="single"/>
                <w:lang w:eastAsia="en-GB"/>
                <w14:ligatures w14:val="none"/>
              </w:rPr>
              <w:t>Ensure Regulatory Compliance:</w:t>
            </w:r>
          </w:p>
          <w:p w14:paraId="63F65C02" w14:textId="469BDCCE" w:rsidR="00E6659E" w:rsidRPr="00E6659E" w:rsidRDefault="00E6659E" w:rsidP="00E6659E">
            <w:pPr>
              <w:pStyle w:val="ListParagraph"/>
              <w:numPr>
                <w:ilvl w:val="1"/>
                <w:numId w:val="11"/>
              </w:numPr>
              <w:rPr>
                <w:rFonts w:eastAsia="Times New Roman" w:cstheme="minorHAnsi"/>
                <w:color w:val="242424"/>
                <w:kern w:val="0"/>
                <w:lang w:eastAsia="en-GB"/>
                <w14:ligatures w14:val="none"/>
              </w:rPr>
            </w:pPr>
            <w:r w:rsidRPr="00E6659E">
              <w:rPr>
                <w:rFonts w:eastAsia="Times New Roman" w:cstheme="minorHAnsi"/>
                <w:color w:val="242424"/>
                <w:kern w:val="0"/>
                <w:lang w:eastAsia="en-GB"/>
                <w14:ligatures w14:val="none"/>
              </w:rPr>
              <w:t xml:space="preserve">Objective: Ensure compliance with tax regulations in </w:t>
            </w:r>
            <w:r w:rsidR="00994D3E">
              <w:rPr>
                <w:rFonts w:eastAsia="Times New Roman" w:cstheme="minorHAnsi"/>
                <w:color w:val="242424"/>
                <w:kern w:val="0"/>
                <w:lang w:eastAsia="en-GB"/>
                <w14:ligatures w14:val="none"/>
              </w:rPr>
              <w:t xml:space="preserve">the Republic of Ireland, </w:t>
            </w:r>
            <w:r w:rsidRPr="00E6659E">
              <w:rPr>
                <w:rFonts w:eastAsia="Times New Roman" w:cstheme="minorHAnsi"/>
                <w:color w:val="242424"/>
                <w:kern w:val="0"/>
                <w:lang w:eastAsia="en-GB"/>
                <w14:ligatures w14:val="none"/>
              </w:rPr>
              <w:t xml:space="preserve"> specifically addressing the two-thirds VAT requirement</w:t>
            </w:r>
            <w:r w:rsidR="00994D3E">
              <w:rPr>
                <w:rFonts w:eastAsia="Times New Roman" w:cstheme="minorHAnsi"/>
                <w:color w:val="242424"/>
                <w:kern w:val="0"/>
                <w:lang w:eastAsia="en-GB"/>
                <w14:ligatures w14:val="none"/>
              </w:rPr>
              <w:t>.</w:t>
            </w:r>
          </w:p>
          <w:p w14:paraId="490C69BD" w14:textId="4A7F57AA" w:rsidR="00E6659E" w:rsidRDefault="00E6659E" w:rsidP="00E6659E">
            <w:pPr>
              <w:pStyle w:val="ListParagraph"/>
              <w:numPr>
                <w:ilvl w:val="1"/>
                <w:numId w:val="11"/>
              </w:numPr>
              <w:rPr>
                <w:rFonts w:eastAsia="Times New Roman" w:cstheme="minorHAnsi"/>
                <w:color w:val="242424"/>
                <w:kern w:val="0"/>
                <w:lang w:eastAsia="en-GB"/>
                <w14:ligatures w14:val="none"/>
              </w:rPr>
            </w:pPr>
            <w:r w:rsidRPr="00E6659E">
              <w:rPr>
                <w:rFonts w:eastAsia="Times New Roman" w:cstheme="minorHAnsi"/>
                <w:color w:val="242424"/>
                <w:kern w:val="0"/>
                <w:lang w:eastAsia="en-GB"/>
                <w14:ligatures w14:val="none"/>
              </w:rPr>
              <w:t xml:space="preserve">Key Results: Implement tax calculation rules that align with </w:t>
            </w:r>
            <w:r w:rsidR="00994D3E">
              <w:rPr>
                <w:rFonts w:eastAsia="Times New Roman" w:cstheme="minorHAnsi"/>
                <w:color w:val="242424"/>
                <w:kern w:val="0"/>
                <w:lang w:eastAsia="en-GB"/>
                <w14:ligatures w14:val="none"/>
              </w:rPr>
              <w:t>Irish / EU</w:t>
            </w:r>
            <w:r w:rsidR="00C92A02">
              <w:rPr>
                <w:rFonts w:eastAsia="Times New Roman" w:cstheme="minorHAnsi"/>
                <w:color w:val="242424"/>
                <w:kern w:val="0"/>
                <w:lang w:eastAsia="en-GB"/>
                <w14:ligatures w14:val="none"/>
              </w:rPr>
              <w:t xml:space="preserve"> laws</w:t>
            </w:r>
            <w:r w:rsidRPr="00E6659E">
              <w:rPr>
                <w:rFonts w:eastAsia="Times New Roman" w:cstheme="minorHAnsi"/>
                <w:color w:val="242424"/>
                <w:kern w:val="0"/>
                <w:lang w:eastAsia="en-GB"/>
                <w14:ligatures w14:val="none"/>
              </w:rPr>
              <w:t>, ensuring accurate tax calculations and adherence to regulatory requirements.</w:t>
            </w:r>
          </w:p>
          <w:p w14:paraId="212443CB" w14:textId="77777777" w:rsidR="00E6659E" w:rsidRPr="0051589B" w:rsidRDefault="00E6659E" w:rsidP="00E6659E">
            <w:pPr>
              <w:pStyle w:val="ListParagraph"/>
              <w:ind w:left="1440"/>
              <w:rPr>
                <w:rFonts w:eastAsia="Times New Roman" w:cstheme="minorHAnsi"/>
                <w:color w:val="242424"/>
                <w:kern w:val="0"/>
                <w:lang w:eastAsia="en-GB"/>
                <w14:ligatures w14:val="none"/>
              </w:rPr>
            </w:pPr>
          </w:p>
          <w:p w14:paraId="1DFC6297" w14:textId="77777777" w:rsidR="00C71BA2" w:rsidRPr="00273527" w:rsidRDefault="00C71BA2" w:rsidP="00C71BA2">
            <w:pPr>
              <w:pStyle w:val="ListParagraph"/>
              <w:numPr>
                <w:ilvl w:val="0"/>
                <w:numId w:val="11"/>
              </w:numPr>
              <w:rPr>
                <w:rFonts w:eastAsia="Times New Roman" w:cstheme="minorHAnsi"/>
                <w:color w:val="242424"/>
                <w:kern w:val="0"/>
                <w:u w:val="single"/>
                <w:lang w:eastAsia="en-GB"/>
                <w14:ligatures w14:val="none"/>
              </w:rPr>
            </w:pPr>
            <w:r w:rsidRPr="00273527">
              <w:rPr>
                <w:rFonts w:eastAsia="Times New Roman" w:cstheme="minorHAnsi"/>
                <w:color w:val="242424"/>
                <w:kern w:val="0"/>
                <w:u w:val="single"/>
                <w:lang w:eastAsia="en-GB"/>
                <w14:ligatures w14:val="none"/>
              </w:rPr>
              <w:t>Enhance Customer Satisfaction:</w:t>
            </w:r>
          </w:p>
          <w:p w14:paraId="765F0901" w14:textId="77777777" w:rsidR="00C71BA2" w:rsidRPr="00C71BA2" w:rsidRDefault="00C71BA2" w:rsidP="00C71BA2">
            <w:pPr>
              <w:pStyle w:val="ListParagraph"/>
              <w:numPr>
                <w:ilvl w:val="1"/>
                <w:numId w:val="11"/>
              </w:numPr>
              <w:rPr>
                <w:rFonts w:eastAsia="Times New Roman" w:cstheme="minorHAnsi"/>
                <w:color w:val="242424"/>
                <w:kern w:val="0"/>
                <w:lang w:eastAsia="en-GB"/>
                <w14:ligatures w14:val="none"/>
              </w:rPr>
            </w:pPr>
            <w:r w:rsidRPr="00C71BA2">
              <w:rPr>
                <w:rFonts w:eastAsia="Times New Roman" w:cstheme="minorHAnsi"/>
                <w:color w:val="242424"/>
                <w:kern w:val="0"/>
                <w:lang w:eastAsia="en-GB"/>
                <w14:ligatures w14:val="none"/>
              </w:rPr>
              <w:t>Objective: Improve customer satisfaction by providing accurate price calculations and tax handling.</w:t>
            </w:r>
          </w:p>
          <w:p w14:paraId="0A919BE4" w14:textId="349B10A3" w:rsidR="007752CF" w:rsidRPr="00097BF9" w:rsidRDefault="00C71BA2" w:rsidP="00C71BA2">
            <w:pPr>
              <w:pStyle w:val="ListParagraph"/>
              <w:numPr>
                <w:ilvl w:val="1"/>
                <w:numId w:val="11"/>
              </w:numPr>
              <w:rPr>
                <w:rFonts w:eastAsia="Times New Roman" w:cstheme="minorHAnsi"/>
                <w:color w:val="242424"/>
                <w:kern w:val="0"/>
                <w:lang w:eastAsia="en-GB"/>
                <w14:ligatures w14:val="none"/>
              </w:rPr>
            </w:pPr>
            <w:r w:rsidRPr="00C71BA2">
              <w:rPr>
                <w:rFonts w:eastAsia="Times New Roman" w:cstheme="minorHAnsi"/>
                <w:color w:val="242424"/>
                <w:kern w:val="0"/>
                <w:lang w:eastAsia="en-GB"/>
                <w14:ligatures w14:val="none"/>
              </w:rPr>
              <w:t>Key Results: Deliver a reliable accounting system that meets customer expectations, reduces pricing discrepancies, and ensures seamless tax calculations.</w:t>
            </w:r>
          </w:p>
        </w:tc>
      </w:tr>
      <w:tr w:rsidR="008903EF" w:rsidRPr="008903EF" w14:paraId="699AACF1" w14:textId="77777777" w:rsidTr="00E63361">
        <w:trPr>
          <w:trHeight w:val="806"/>
        </w:trPr>
        <w:tc>
          <w:tcPr>
            <w:tcW w:w="2071" w:type="dxa"/>
            <w:tcBorders>
              <w:top w:val="single" w:sz="8" w:space="0" w:color="000000"/>
              <w:left w:val="single" w:sz="8" w:space="0" w:color="000000"/>
              <w:right w:val="single" w:sz="8" w:space="0" w:color="000000"/>
            </w:tcBorders>
            <w:shd w:val="clear" w:color="auto" w:fill="E7E6E6"/>
            <w:tcMar>
              <w:top w:w="100" w:type="dxa"/>
              <w:left w:w="100" w:type="dxa"/>
              <w:bottom w:w="100" w:type="dxa"/>
              <w:right w:w="100" w:type="dxa"/>
            </w:tcMar>
          </w:tcPr>
          <w:p w14:paraId="6289C759" w14:textId="77777777" w:rsidR="008903EF" w:rsidRPr="008903EF" w:rsidRDefault="008903EF" w:rsidP="008903EF">
            <w:pPr>
              <w:spacing w:after="0" w:line="240" w:lineRule="auto"/>
              <w:rPr>
                <w:rFonts w:ascii="Work Sans" w:eastAsia="Work Sans" w:hAnsi="Work Sans" w:cs="Work Sans"/>
                <w:b/>
                <w:color w:val="000000"/>
                <w:kern w:val="0"/>
                <w:sz w:val="20"/>
                <w:szCs w:val="20"/>
                <w:lang w:eastAsia="en-GB"/>
                <w14:ligatures w14:val="none"/>
              </w:rPr>
            </w:pPr>
            <w:r w:rsidRPr="008903EF">
              <w:rPr>
                <w:rFonts w:ascii="Work Sans" w:eastAsia="Work Sans" w:hAnsi="Work Sans" w:cs="Work Sans"/>
                <w:b/>
                <w:color w:val="000000"/>
                <w:kern w:val="0"/>
                <w:sz w:val="20"/>
                <w:szCs w:val="20"/>
                <w:u w:val="single"/>
                <w:lang w:eastAsia="en-GB"/>
                <w14:ligatures w14:val="none"/>
              </w:rPr>
              <w:lastRenderedPageBreak/>
              <w:t>Who</w:t>
            </w:r>
            <w:r w:rsidRPr="008903EF">
              <w:rPr>
                <w:rFonts w:ascii="Work Sans" w:eastAsia="Work Sans" w:hAnsi="Work Sans" w:cs="Work Sans"/>
                <w:b/>
                <w:color w:val="000000"/>
                <w:kern w:val="0"/>
                <w:sz w:val="20"/>
                <w:szCs w:val="20"/>
                <w:lang w:eastAsia="en-GB"/>
                <w14:ligatures w14:val="none"/>
              </w:rPr>
              <w:t xml:space="preserve"> is having the problem?</w:t>
            </w:r>
          </w:p>
        </w:tc>
        <w:tc>
          <w:tcPr>
            <w:tcW w:w="7369"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AB1947F" w14:textId="3EA27DB1" w:rsidR="008903EF" w:rsidRPr="008903EF" w:rsidRDefault="00D7465E" w:rsidP="00D7465E">
            <w:pPr>
              <w:pStyle w:val="NoSpacing"/>
              <w:numPr>
                <w:ilvl w:val="0"/>
                <w:numId w:val="12"/>
              </w:numPr>
              <w:rPr>
                <w:lang w:eastAsia="en-GB"/>
              </w:rPr>
            </w:pPr>
            <w:r>
              <w:rPr>
                <w:lang w:eastAsia="en-GB"/>
              </w:rPr>
              <w:t>Tax calculations limited to the UK &amp; ROI affect all potential customers in Ireland.</w:t>
            </w:r>
          </w:p>
        </w:tc>
      </w:tr>
      <w:tr w:rsidR="008903EF" w:rsidRPr="008903EF" w14:paraId="52D28C2C" w14:textId="77777777" w:rsidTr="00E63361">
        <w:tc>
          <w:tcPr>
            <w:tcW w:w="2071"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6DE98D76" w14:textId="77777777" w:rsidR="008903EF" w:rsidRPr="008903EF" w:rsidRDefault="008903EF" w:rsidP="008903EF">
            <w:pPr>
              <w:spacing w:after="0" w:line="240" w:lineRule="auto"/>
              <w:rPr>
                <w:rFonts w:ascii="Work Sans" w:eastAsia="Work Sans" w:hAnsi="Work Sans" w:cs="Work Sans"/>
                <w:b/>
                <w:color w:val="000000"/>
                <w:kern w:val="0"/>
                <w:sz w:val="20"/>
                <w:szCs w:val="20"/>
                <w:lang w:eastAsia="en-GB"/>
                <w14:ligatures w14:val="none"/>
              </w:rPr>
            </w:pPr>
            <w:r w:rsidRPr="008903EF">
              <w:rPr>
                <w:rFonts w:ascii="Work Sans" w:eastAsia="Work Sans" w:hAnsi="Work Sans" w:cs="Work Sans"/>
                <w:b/>
                <w:color w:val="000000"/>
                <w:kern w:val="0"/>
                <w:sz w:val="20"/>
                <w:szCs w:val="20"/>
                <w:u w:val="single"/>
                <w:lang w:eastAsia="en-GB"/>
                <w14:ligatures w14:val="none"/>
              </w:rPr>
              <w:t>How</w:t>
            </w:r>
            <w:r w:rsidRPr="008903EF">
              <w:rPr>
                <w:rFonts w:ascii="Work Sans" w:eastAsia="Work Sans" w:hAnsi="Work Sans" w:cs="Work Sans"/>
                <w:b/>
                <w:color w:val="000000"/>
                <w:kern w:val="0"/>
                <w:sz w:val="20"/>
                <w:szCs w:val="20"/>
                <w:lang w:eastAsia="en-GB"/>
                <w14:ligatures w14:val="none"/>
              </w:rPr>
              <w:t xml:space="preserve"> do we know it’s a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A57AF" w14:textId="40165123" w:rsidR="00E56627" w:rsidRPr="008903EF" w:rsidRDefault="008E0F62" w:rsidP="00BF5BCA">
            <w:pPr>
              <w:pStyle w:val="NoSpacing"/>
              <w:numPr>
                <w:ilvl w:val="0"/>
                <w:numId w:val="13"/>
              </w:numPr>
              <w:rPr>
                <w:lang w:eastAsia="en-GB"/>
              </w:rPr>
            </w:pPr>
            <w:r>
              <w:rPr>
                <w:lang w:eastAsia="en-GB"/>
              </w:rPr>
              <w:t>Requirements for entry into the Republic of Ireland.</w:t>
            </w:r>
          </w:p>
        </w:tc>
      </w:tr>
      <w:tr w:rsidR="008903EF" w:rsidRPr="008903EF" w14:paraId="62B04701" w14:textId="77777777" w:rsidTr="00E63361">
        <w:tc>
          <w:tcPr>
            <w:tcW w:w="2071"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72584547" w14:textId="77777777" w:rsidR="008903EF" w:rsidRPr="008903EF" w:rsidRDefault="008903EF" w:rsidP="008903EF">
            <w:pPr>
              <w:spacing w:after="0" w:line="240" w:lineRule="auto"/>
              <w:rPr>
                <w:rFonts w:ascii="Work Sans" w:eastAsia="Work Sans" w:hAnsi="Work Sans" w:cs="Work Sans"/>
                <w:b/>
                <w:color w:val="000000"/>
                <w:kern w:val="0"/>
                <w:sz w:val="20"/>
                <w:szCs w:val="20"/>
                <w:lang w:eastAsia="en-GB"/>
                <w14:ligatures w14:val="none"/>
              </w:rPr>
            </w:pPr>
            <w:r w:rsidRPr="008903EF">
              <w:rPr>
                <w:rFonts w:ascii="Work Sans" w:eastAsia="Work Sans" w:hAnsi="Work Sans" w:cs="Work Sans"/>
                <w:b/>
                <w:color w:val="000000"/>
                <w:kern w:val="0"/>
                <w:sz w:val="20"/>
                <w:szCs w:val="20"/>
                <w:u w:val="single"/>
                <w:lang w:eastAsia="en-GB"/>
                <w14:ligatures w14:val="none"/>
              </w:rPr>
              <w:lastRenderedPageBreak/>
              <w:t>Where</w:t>
            </w:r>
            <w:r w:rsidRPr="008903EF">
              <w:rPr>
                <w:rFonts w:ascii="Work Sans" w:eastAsia="Work Sans" w:hAnsi="Work Sans" w:cs="Work Sans"/>
                <w:b/>
                <w:color w:val="000000"/>
                <w:kern w:val="0"/>
                <w:sz w:val="20"/>
                <w:szCs w:val="20"/>
                <w:lang w:eastAsia="en-GB"/>
                <w14:ligatures w14:val="none"/>
              </w:rPr>
              <w:t xml:space="preserve"> does the problem exist?</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6B811" w14:textId="6C6E519C" w:rsidR="008903EF" w:rsidRPr="008903EF" w:rsidRDefault="00DD599B" w:rsidP="000D5E1D">
            <w:pPr>
              <w:pStyle w:val="NoSpacing"/>
              <w:rPr>
                <w:lang w:eastAsia="en-GB"/>
              </w:rPr>
            </w:pPr>
            <w:r>
              <w:rPr>
                <w:lang w:eastAsia="en-GB"/>
              </w:rPr>
              <w:t>Problem exists in the current implementation of Merlin and associated integration</w:t>
            </w:r>
            <w:r w:rsidR="00CC4A76">
              <w:rPr>
                <w:lang w:eastAsia="en-GB"/>
              </w:rPr>
              <w:t>s.</w:t>
            </w:r>
          </w:p>
        </w:tc>
      </w:tr>
      <w:tr w:rsidR="008903EF" w:rsidRPr="008903EF" w14:paraId="42B7AB7B" w14:textId="77777777" w:rsidTr="00E63361">
        <w:tc>
          <w:tcPr>
            <w:tcW w:w="2071"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1FA0E19C" w14:textId="77777777" w:rsidR="008903EF" w:rsidRPr="008903EF" w:rsidRDefault="008903EF" w:rsidP="008903EF">
            <w:pPr>
              <w:spacing w:after="0" w:line="240" w:lineRule="auto"/>
              <w:rPr>
                <w:rFonts w:ascii="Work Sans" w:eastAsia="Work Sans" w:hAnsi="Work Sans" w:cs="Work Sans"/>
                <w:b/>
                <w:color w:val="000000"/>
                <w:kern w:val="0"/>
                <w:sz w:val="20"/>
                <w:szCs w:val="20"/>
                <w:lang w:eastAsia="en-GB"/>
                <w14:ligatures w14:val="none"/>
              </w:rPr>
            </w:pPr>
            <w:r w:rsidRPr="008903EF">
              <w:rPr>
                <w:rFonts w:ascii="Work Sans" w:eastAsia="Work Sans" w:hAnsi="Work Sans" w:cs="Work Sans"/>
                <w:b/>
                <w:color w:val="000000"/>
                <w:kern w:val="0"/>
                <w:sz w:val="20"/>
                <w:szCs w:val="20"/>
                <w:u w:val="single"/>
                <w:lang w:eastAsia="en-GB"/>
                <w14:ligatures w14:val="none"/>
              </w:rPr>
              <w:t>Why</w:t>
            </w:r>
            <w:r w:rsidRPr="008903EF">
              <w:rPr>
                <w:rFonts w:ascii="Work Sans" w:eastAsia="Work Sans" w:hAnsi="Work Sans" w:cs="Work Sans"/>
                <w:b/>
                <w:color w:val="000000"/>
                <w:kern w:val="0"/>
                <w:sz w:val="20"/>
                <w:szCs w:val="20"/>
                <w:lang w:eastAsia="en-GB"/>
                <w14:ligatures w14:val="none"/>
              </w:rPr>
              <w:t xml:space="preserve"> are we trying to fix the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F803E" w14:textId="5E0D53E9" w:rsidR="00DD599B" w:rsidRPr="008903EF" w:rsidRDefault="00684FA7" w:rsidP="000D5E1D">
            <w:pPr>
              <w:pStyle w:val="NoSpacing"/>
              <w:rPr>
                <w:lang w:eastAsia="en-GB"/>
              </w:rPr>
            </w:pPr>
            <w:r>
              <w:rPr>
                <w:lang w:eastAsia="en-GB"/>
              </w:rPr>
              <w:t>For m</w:t>
            </w:r>
            <w:r w:rsidR="00CC4A76">
              <w:rPr>
                <w:lang w:eastAsia="en-GB"/>
              </w:rPr>
              <w:t xml:space="preserve">arket penetration into the </w:t>
            </w:r>
            <w:r w:rsidR="008E0F62">
              <w:rPr>
                <w:lang w:eastAsia="en-GB"/>
              </w:rPr>
              <w:t>Republic of Ireland.</w:t>
            </w:r>
            <w:r w:rsidR="008E0F62">
              <w:rPr>
                <w:lang w:eastAsia="en-GB"/>
              </w:rPr>
              <w:br/>
            </w:r>
            <w:r w:rsidR="00BF5BCA">
              <w:rPr>
                <w:lang w:eastAsia="en-GB"/>
              </w:rPr>
              <w:t>To fix pricing calculation discrepancies within Merlin</w:t>
            </w:r>
          </w:p>
        </w:tc>
      </w:tr>
    </w:tbl>
    <w:p w14:paraId="1B3A692C" w14:textId="77777777" w:rsidR="008903EF" w:rsidRDefault="008903EF" w:rsidP="008903EF"/>
    <w:p w14:paraId="2AE18E82" w14:textId="77777777" w:rsidR="00355020" w:rsidRDefault="008B69D4" w:rsidP="00355020">
      <w:pPr>
        <w:pStyle w:val="Heading3"/>
      </w:pPr>
      <w:r>
        <w:rPr>
          <w:noProof/>
        </w:rPr>
        <mc:AlternateContent>
          <mc:Choice Requires="wps">
            <w:drawing>
              <wp:anchor distT="45720" distB="45720" distL="114300" distR="114300" simplePos="0" relativeHeight="251658240" behindDoc="0" locked="0" layoutInCell="1" allowOverlap="1" wp14:anchorId="3FFBEDB6" wp14:editId="027126CC">
                <wp:simplePos x="0" y="0"/>
                <wp:positionH relativeFrom="column">
                  <wp:posOffset>0</wp:posOffset>
                </wp:positionH>
                <wp:positionV relativeFrom="paragraph">
                  <wp:posOffset>379095</wp:posOffset>
                </wp:positionV>
                <wp:extent cx="6002655" cy="1346200"/>
                <wp:effectExtent l="0" t="0" r="1714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655" cy="1346200"/>
                        </a:xfrm>
                        <a:prstGeom prst="rect">
                          <a:avLst/>
                        </a:prstGeom>
                        <a:solidFill>
                          <a:srgbClr val="FFFFFF"/>
                        </a:solidFill>
                        <a:ln w="9525">
                          <a:solidFill>
                            <a:srgbClr val="000000"/>
                          </a:solidFill>
                          <a:miter lim="800000"/>
                          <a:headEnd/>
                          <a:tailEnd/>
                        </a:ln>
                      </wps:spPr>
                      <wps:txbx>
                        <w:txbxContent>
                          <w:p w14:paraId="643173FB" w14:textId="08BFCFE3" w:rsidR="008B69D4" w:rsidRDefault="00ED66FD" w:rsidP="0047551A">
                            <w:r w:rsidRPr="00ED66FD">
                              <w:t>We believe that if we enhance the tax calculation capabilities to support the two-thirds VAT rule for Ireland, standardize price calculations to eliminate inconsistencies, we will be able to expand to Ireland, observe improved accuracy in price calculations, increased system efficiency, enhanced user experience, regulatory compliance, and ultimately, higher customer satisfaction.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FBEDB6" id="_x0000_t202" coordsize="21600,21600" o:spt="202" path="m,l,21600r21600,l21600,xe">
                <v:stroke joinstyle="miter"/>
                <v:path gradientshapeok="t" o:connecttype="rect"/>
              </v:shapetype>
              <v:shape id="Text Box 2" o:spid="_x0000_s1026" type="#_x0000_t202" style="position:absolute;margin-left:0;margin-top:29.85pt;width:472.65pt;height:10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">
                <v:textbox>
                  <w:txbxContent>
                    <w:p w14:paraId="643173FB" w14:textId="08BFCFE3" w:rsidR="008B69D4" w:rsidRDefault="00ED66FD" w:rsidP="0047551A">
                      <w:r w:rsidRPr="00ED66FD">
                        <w:t>We believe that if we enhance the tax calculation capabilities to support the two-thirds VAT rule for Ireland, standardize price calculations to eliminate inconsistencies, we will be able to expand to Ireland, observe improved accuracy in price calculations, increased system efficiency, enhanced user experience, regulatory compliance, and ultimately, higher customer satisfaction.</w:t>
                      </w:r>
                    </w:p>
                  </w:txbxContent>
                </v:textbox>
                <w10:wrap type="square"/>
              </v:shape>
            </w:pict>
          </mc:Fallback>
        </mc:AlternateContent>
      </w:r>
      <w:r w:rsidR="00355020">
        <w:t>Hypothesis</w:t>
      </w:r>
    </w:p>
    <w:p w14:paraId="11AE6A2B" w14:textId="77777777" w:rsidR="00752207" w:rsidRDefault="00752207" w:rsidP="007E2095">
      <w:pPr>
        <w:pStyle w:val="Heading3"/>
      </w:pPr>
    </w:p>
    <w:p w14:paraId="2A24DCAE" w14:textId="08F3F298" w:rsidR="008B69D4" w:rsidRDefault="007E2095" w:rsidP="007E2095">
      <w:pPr>
        <w:pStyle w:val="Heading3"/>
      </w:pPr>
      <w:r>
        <w:t>Market Size</w:t>
      </w:r>
    </w:p>
    <w:p w14:paraId="4C14170F" w14:textId="5805D18A" w:rsidR="007E2095" w:rsidRDefault="00752207" w:rsidP="00752207">
      <w:r w:rsidRPr="00752207">
        <w:t>Industry revenue has grown at a CAGR of 11.4 % over the past five years, to reach an estimated €639.1m in 2024.</w:t>
      </w:r>
    </w:p>
    <w:p w14:paraId="337F4A9F" w14:textId="071F7F7A" w:rsidR="00752207" w:rsidRDefault="00752207" w:rsidP="00752207">
      <w:r>
        <w:rPr>
          <w:noProof/>
        </w:rPr>
        <w:drawing>
          <wp:inline distT="0" distB="0" distL="0" distR="0" wp14:anchorId="5E6A1295" wp14:editId="2F19B9A6">
            <wp:extent cx="3500490" cy="3822903"/>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16097" cy="3839947"/>
                    </a:xfrm>
                    <a:prstGeom prst="rect">
                      <a:avLst/>
                    </a:prstGeom>
                  </pic:spPr>
                </pic:pic>
              </a:graphicData>
            </a:graphic>
          </wp:inline>
        </w:drawing>
      </w:r>
    </w:p>
    <w:p w14:paraId="6332D5AD" w14:textId="77777777" w:rsidR="008903EF" w:rsidRDefault="00DD599B" w:rsidP="00DD599B">
      <w:pPr>
        <w:pStyle w:val="Heading3"/>
      </w:pPr>
      <w:r>
        <w:t>Business Requirements</w:t>
      </w:r>
    </w:p>
    <w:p w14:paraId="77978264" w14:textId="77777777" w:rsidR="00E2762D" w:rsidRDefault="00E2762D" w:rsidP="00DD599B"/>
    <w:p w14:paraId="2C6C480B" w14:textId="02A0606C" w:rsidR="00B63F5A" w:rsidRDefault="00481112" w:rsidP="006B2199">
      <w:pPr>
        <w:pStyle w:val="Heading3"/>
      </w:pPr>
      <w:r>
        <w:lastRenderedPageBreak/>
        <w:t xml:space="preserve">High-Level </w:t>
      </w:r>
      <w:r w:rsidR="00355020">
        <w:t>Product/Service/Feature</w:t>
      </w:r>
    </w:p>
    <w:tbl>
      <w:tblPr>
        <w:tblW w:w="9440" w:type="dxa"/>
        <w:tblLayout w:type="fixed"/>
        <w:tblLook w:val="0400" w:firstRow="0" w:lastRow="0" w:firstColumn="0" w:lastColumn="0" w:noHBand="0" w:noVBand="1"/>
      </w:tblPr>
      <w:tblGrid>
        <w:gridCol w:w="2117"/>
        <w:gridCol w:w="7323"/>
      </w:tblGrid>
      <w:tr w:rsidR="00264A8F" w:rsidRPr="00355020" w14:paraId="613B6F0E" w14:textId="77777777" w:rsidTr="00E63361">
        <w:tc>
          <w:tcPr>
            <w:tcW w:w="211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5114927B" w14:textId="77777777" w:rsidR="00264A8F" w:rsidRPr="00355020" w:rsidRDefault="00264A8F" w:rsidP="00E63361">
            <w:pPr>
              <w:spacing w:after="0" w:line="240" w:lineRule="auto"/>
              <w:rPr>
                <w:rFonts w:ascii="Work Sans" w:eastAsia="Work Sans" w:hAnsi="Work Sans" w:cs="Work Sans"/>
                <w:b/>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Name</w:t>
            </w:r>
          </w:p>
        </w:tc>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45346" w14:textId="6FB01B43" w:rsidR="00264A8F" w:rsidRPr="00355020" w:rsidRDefault="00B41485" w:rsidP="00E63361">
            <w:pPr>
              <w:pStyle w:val="NoSpacing"/>
              <w:rPr>
                <w:lang w:eastAsia="en-GB"/>
              </w:rPr>
            </w:pPr>
            <w:r w:rsidRPr="00B41485">
              <w:rPr>
                <w:lang w:eastAsia="en-GB"/>
              </w:rPr>
              <w:t>Tax Management</w:t>
            </w:r>
          </w:p>
        </w:tc>
      </w:tr>
      <w:tr w:rsidR="00264A8F" w:rsidRPr="00355020" w14:paraId="685801C9" w14:textId="77777777" w:rsidTr="00E63361">
        <w:tc>
          <w:tcPr>
            <w:tcW w:w="211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402068FE" w14:textId="77777777" w:rsidR="00264A8F" w:rsidRPr="00355020" w:rsidRDefault="00264A8F" w:rsidP="00E63361">
            <w:pPr>
              <w:spacing w:after="0" w:line="240" w:lineRule="auto"/>
              <w:rPr>
                <w:rFonts w:ascii="Work Sans" w:eastAsia="Work Sans" w:hAnsi="Work Sans" w:cs="Work Sans"/>
                <w:b/>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Description</w:t>
            </w:r>
          </w:p>
        </w:tc>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72D3B" w14:textId="77777777" w:rsidR="00264A8F" w:rsidRDefault="004C11D6" w:rsidP="00B63F5A">
            <w:pPr>
              <w:pStyle w:val="NoSpacing"/>
            </w:pPr>
            <w:r w:rsidRPr="004C11D6">
              <w:t>Deals with all tax-related functionality, including setting tax statuses and displaying tax information, specifically regarding the two-thirds VAT rule for Ireland</w:t>
            </w:r>
            <w:r w:rsidR="00B41485" w:rsidRPr="00B41485">
              <w:t>. This ensures compliance with tax regulations and accurate tax reporting.</w:t>
            </w:r>
          </w:p>
          <w:p w14:paraId="2B88945E" w14:textId="77777777" w:rsidR="009D5FCF" w:rsidRDefault="009D5FCF" w:rsidP="00B63F5A">
            <w:pPr>
              <w:pStyle w:val="NoSpacing"/>
            </w:pPr>
          </w:p>
          <w:p w14:paraId="637B4ED0" w14:textId="77777777" w:rsidR="00C10F2F" w:rsidRDefault="00C10F2F" w:rsidP="00C10F2F">
            <w:pPr>
              <w:pStyle w:val="NoSpacing"/>
              <w:rPr>
                <w:u w:val="single"/>
              </w:rPr>
            </w:pPr>
            <w:r w:rsidRPr="00C10F2F">
              <w:rPr>
                <w:u w:val="single"/>
              </w:rPr>
              <w:t>Overview of the Two-Thirds VAT Rule</w:t>
            </w:r>
          </w:p>
          <w:p w14:paraId="153DB5B0" w14:textId="77777777" w:rsidR="0037778A" w:rsidRPr="00C10F2F" w:rsidRDefault="0037778A" w:rsidP="00C10F2F">
            <w:pPr>
              <w:pStyle w:val="NoSpacing"/>
              <w:rPr>
                <w:u w:val="single"/>
              </w:rPr>
            </w:pPr>
          </w:p>
          <w:p w14:paraId="0C8B7388" w14:textId="77777777" w:rsidR="00C10F2F" w:rsidRDefault="00C10F2F" w:rsidP="00C10F2F">
            <w:pPr>
              <w:pStyle w:val="NoSpacing"/>
            </w:pPr>
            <w:r>
              <w:t>The two-thirds VAT rule is relevant when dealing with the supply of services in the European Union, including the Republic of Ireland. This rule applies to mixed supplies involving both goods and services. Here's how it works:</w:t>
            </w:r>
          </w:p>
          <w:p w14:paraId="5CDBE672" w14:textId="7E595FA3" w:rsidR="00C10F2F" w:rsidRDefault="00C10F2F" w:rsidP="0037778A">
            <w:pPr>
              <w:pStyle w:val="NoSpacing"/>
              <w:numPr>
                <w:ilvl w:val="0"/>
                <w:numId w:val="14"/>
              </w:numPr>
            </w:pPr>
            <w:r>
              <w:t>Threshold Determination: If the value of the goods in a mixed supply constitutes more than two-thirds of the total value of the supply, the entire transaction is treated as a supply of goods for VAT purposes.</w:t>
            </w:r>
          </w:p>
          <w:p w14:paraId="3668AA3F" w14:textId="7B248C89" w:rsidR="00C10F2F" w:rsidRPr="00B63F5A" w:rsidRDefault="00C10F2F" w:rsidP="0037778A">
            <w:pPr>
              <w:pStyle w:val="NoSpacing"/>
              <w:numPr>
                <w:ilvl w:val="0"/>
                <w:numId w:val="14"/>
              </w:numPr>
            </w:pPr>
            <w:r>
              <w:t>Application: This means that the VAT rate applicable to goods will be applied to the entire transaction, rather than the VAT rate for services.</w:t>
            </w:r>
          </w:p>
        </w:tc>
      </w:tr>
      <w:tr w:rsidR="00264A8F" w:rsidRPr="00355020" w14:paraId="7D9F0DA0" w14:textId="77777777" w:rsidTr="00E63361">
        <w:tc>
          <w:tcPr>
            <w:tcW w:w="211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13496020" w14:textId="77777777" w:rsidR="00264A8F" w:rsidRPr="00355020" w:rsidRDefault="00264A8F" w:rsidP="00E63361">
            <w:pPr>
              <w:spacing w:after="0" w:line="240" w:lineRule="auto"/>
              <w:rPr>
                <w:rFonts w:ascii="Work Sans" w:eastAsia="Work Sans" w:hAnsi="Work Sans" w:cs="Work Sans"/>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Purpose</w:t>
            </w:r>
          </w:p>
        </w:tc>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978E1" w14:textId="72002752" w:rsidR="00264A8F" w:rsidRPr="00264A8F" w:rsidRDefault="007E78E9" w:rsidP="00E63361">
            <w:pPr>
              <w:pStyle w:val="NoSpacing"/>
              <w:rPr>
                <w:lang w:eastAsia="en-GB"/>
              </w:rPr>
            </w:pPr>
            <w:r w:rsidRPr="007E78E9">
              <w:rPr>
                <w:lang w:eastAsia="en-GB"/>
              </w:rPr>
              <w:t>Simplify tax compliance</w:t>
            </w:r>
            <w:r>
              <w:rPr>
                <w:lang w:eastAsia="en-GB"/>
              </w:rPr>
              <w:t>.</w:t>
            </w:r>
            <w:r w:rsidRPr="007E78E9">
              <w:rPr>
                <w:lang w:eastAsia="en-GB"/>
              </w:rPr>
              <w:t xml:space="preserve"> Reduce risk of tax-related errors</w:t>
            </w:r>
            <w:r>
              <w:rPr>
                <w:lang w:eastAsia="en-GB"/>
              </w:rPr>
              <w:t>.</w:t>
            </w:r>
            <w:r w:rsidRPr="007E78E9">
              <w:rPr>
                <w:lang w:eastAsia="en-GB"/>
              </w:rPr>
              <w:t xml:space="preserve"> Save time on tax calculations</w:t>
            </w:r>
            <w:r>
              <w:rPr>
                <w:lang w:eastAsia="en-GB"/>
              </w:rPr>
              <w:t>.</w:t>
            </w:r>
            <w:r w:rsidRPr="007E78E9">
              <w:rPr>
                <w:lang w:eastAsia="en-GB"/>
              </w:rPr>
              <w:t xml:space="preserve"> Easily generate tax reports</w:t>
            </w:r>
          </w:p>
        </w:tc>
      </w:tr>
      <w:tr w:rsidR="00264A8F" w:rsidRPr="00355020" w14:paraId="0B4D5BD1" w14:textId="77777777" w:rsidTr="00E63361">
        <w:tc>
          <w:tcPr>
            <w:tcW w:w="211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59DAB4AD" w14:textId="77777777" w:rsidR="00264A8F" w:rsidRPr="00355020" w:rsidRDefault="00264A8F" w:rsidP="00E63361">
            <w:pPr>
              <w:spacing w:after="0" w:line="240" w:lineRule="auto"/>
              <w:rPr>
                <w:rFonts w:ascii="Work Sans" w:eastAsia="Work Sans" w:hAnsi="Work Sans" w:cs="Work Sans"/>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Priority</w:t>
            </w:r>
          </w:p>
        </w:tc>
        <w:tc>
          <w:tcPr>
            <w:tcW w:w="7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3879" w14:textId="01AA4544" w:rsidR="00264A8F" w:rsidRPr="00355020" w:rsidRDefault="007E78E9" w:rsidP="00E63361">
            <w:pPr>
              <w:pStyle w:val="NoSpacing"/>
              <w:rPr>
                <w:color w:val="666666"/>
                <w:lang w:eastAsia="en-GB"/>
              </w:rPr>
            </w:pPr>
            <w:r>
              <w:rPr>
                <w:color w:val="666666"/>
                <w:lang w:eastAsia="en-GB"/>
              </w:rPr>
              <w:t>Must Have</w:t>
            </w:r>
          </w:p>
        </w:tc>
      </w:tr>
    </w:tbl>
    <w:p w14:paraId="57FD2A73" w14:textId="72313C59" w:rsidR="007E78E9" w:rsidRDefault="007E78E9" w:rsidP="00355020"/>
    <w:p w14:paraId="5DB4DE33" w14:textId="77777777" w:rsidR="004C11D6" w:rsidRDefault="004C11D6" w:rsidP="00355020"/>
    <w:p w14:paraId="650B3658" w14:textId="77777777" w:rsidR="00355020" w:rsidRDefault="00355020" w:rsidP="00355020">
      <w:pPr>
        <w:pStyle w:val="Heading3"/>
      </w:pPr>
      <w:r>
        <w:t>UX Plan</w:t>
      </w:r>
    </w:p>
    <w:tbl>
      <w:tblPr>
        <w:tblW w:w="9488" w:type="dxa"/>
        <w:tblLayout w:type="fixed"/>
        <w:tblLook w:val="0400" w:firstRow="0" w:lastRow="0" w:firstColumn="0" w:lastColumn="0" w:noHBand="0" w:noVBand="1"/>
      </w:tblPr>
      <w:tblGrid>
        <w:gridCol w:w="2066"/>
        <w:gridCol w:w="7422"/>
      </w:tblGrid>
      <w:tr w:rsidR="00F32887" w:rsidRPr="00355020" w14:paraId="6F288F35" w14:textId="77777777" w:rsidTr="00355020">
        <w:tc>
          <w:tcPr>
            <w:tcW w:w="2066"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1B50C5B4" w14:textId="1051B885" w:rsidR="00F32887" w:rsidRPr="00355020" w:rsidRDefault="00F32887" w:rsidP="00355020">
            <w:pPr>
              <w:spacing w:after="0" w:line="240" w:lineRule="auto"/>
              <w:rPr>
                <w:rFonts w:ascii="Work Sans" w:eastAsia="Work Sans" w:hAnsi="Work Sans" w:cs="Work Sans"/>
                <w:b/>
                <w:color w:val="000000"/>
                <w:kern w:val="0"/>
                <w:sz w:val="20"/>
                <w:szCs w:val="20"/>
                <w:lang w:eastAsia="en-GB"/>
                <w14:ligatures w14:val="none"/>
              </w:rPr>
            </w:pPr>
            <w:r>
              <w:rPr>
                <w:rFonts w:ascii="Work Sans" w:eastAsia="Work Sans" w:hAnsi="Work Sans" w:cs="Work Sans"/>
                <w:b/>
                <w:color w:val="000000"/>
                <w:kern w:val="0"/>
                <w:sz w:val="20"/>
                <w:szCs w:val="20"/>
                <w:lang w:eastAsia="en-GB"/>
                <w14:ligatures w14:val="none"/>
              </w:rPr>
              <w:t>Design Brief</w:t>
            </w:r>
          </w:p>
        </w:tc>
        <w:tc>
          <w:tcPr>
            <w:tcW w:w="7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D59BE" w14:textId="29F36D11" w:rsidR="00F32887" w:rsidRDefault="0038682D" w:rsidP="00355020">
            <w:pPr>
              <w:spacing w:after="0" w:line="240" w:lineRule="auto"/>
              <w:rPr>
                <w:rFonts w:ascii="Work Sans" w:eastAsia="Work Sans" w:hAnsi="Work Sans" w:cs="Work Sans"/>
                <w:kern w:val="0"/>
                <w:sz w:val="20"/>
                <w:szCs w:val="20"/>
                <w:lang w:eastAsia="en-GB"/>
                <w14:ligatures w14:val="none"/>
              </w:rPr>
            </w:pPr>
            <w:r>
              <w:rPr>
                <w:rFonts w:ascii="Work Sans" w:eastAsia="Work Sans" w:hAnsi="Work Sans" w:cs="Work Sans"/>
                <w:kern w:val="0"/>
                <w:sz w:val="20"/>
                <w:szCs w:val="20"/>
                <w:lang w:eastAsia="en-GB"/>
                <w14:ligatures w14:val="none"/>
              </w:rPr>
              <w:t>Link to document</w:t>
            </w:r>
          </w:p>
        </w:tc>
      </w:tr>
      <w:tr w:rsidR="00355020" w:rsidRPr="00355020" w14:paraId="20E25001" w14:textId="77777777" w:rsidTr="00355020">
        <w:tc>
          <w:tcPr>
            <w:tcW w:w="2066"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7A30C447" w14:textId="3E7CF8CB" w:rsidR="00355020" w:rsidRPr="00355020" w:rsidRDefault="00AB7705" w:rsidP="00355020">
            <w:pPr>
              <w:spacing w:after="0" w:line="240" w:lineRule="auto"/>
              <w:rPr>
                <w:rFonts w:ascii="Work Sans" w:eastAsia="Work Sans" w:hAnsi="Work Sans" w:cs="Work Sans"/>
                <w:b/>
                <w:color w:val="000000"/>
                <w:kern w:val="0"/>
                <w:sz w:val="20"/>
                <w:szCs w:val="20"/>
                <w:lang w:eastAsia="en-GB"/>
                <w14:ligatures w14:val="none"/>
              </w:rPr>
            </w:pPr>
            <w:r>
              <w:rPr>
                <w:rFonts w:ascii="Work Sans" w:eastAsia="Work Sans" w:hAnsi="Work Sans" w:cs="Work Sans"/>
                <w:b/>
                <w:color w:val="000000"/>
                <w:kern w:val="0"/>
                <w:sz w:val="20"/>
                <w:szCs w:val="20"/>
                <w:lang w:eastAsia="en-GB"/>
                <w14:ligatures w14:val="none"/>
              </w:rPr>
              <w:t>High Level Requirements</w:t>
            </w:r>
          </w:p>
        </w:tc>
        <w:tc>
          <w:tcPr>
            <w:tcW w:w="7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6D0BA" w14:textId="20F1C5A1" w:rsidR="00355020" w:rsidRPr="00355020" w:rsidRDefault="0038682D" w:rsidP="00355020">
            <w:pPr>
              <w:spacing w:after="0" w:line="240" w:lineRule="auto"/>
              <w:rPr>
                <w:rFonts w:ascii="Work Sans" w:eastAsia="Work Sans" w:hAnsi="Work Sans" w:cs="Work Sans"/>
                <w:kern w:val="0"/>
                <w:sz w:val="20"/>
                <w:szCs w:val="20"/>
                <w:lang w:eastAsia="en-GB"/>
                <w14:ligatures w14:val="none"/>
              </w:rPr>
            </w:pPr>
            <w:r>
              <w:rPr>
                <w:rFonts w:ascii="Work Sans" w:eastAsia="Work Sans" w:hAnsi="Work Sans" w:cs="Work Sans"/>
                <w:kern w:val="0"/>
                <w:sz w:val="20"/>
                <w:szCs w:val="20"/>
                <w:lang w:eastAsia="en-GB"/>
                <w14:ligatures w14:val="none"/>
              </w:rPr>
              <w:t>Link to HL requirements</w:t>
            </w:r>
          </w:p>
        </w:tc>
      </w:tr>
      <w:tr w:rsidR="00355020" w:rsidRPr="00355020" w14:paraId="53B9447E" w14:textId="77777777" w:rsidTr="00355020">
        <w:tc>
          <w:tcPr>
            <w:tcW w:w="2066"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25240770" w14:textId="77777777" w:rsidR="00355020" w:rsidRPr="00355020" w:rsidRDefault="00355020" w:rsidP="00355020">
            <w:pPr>
              <w:spacing w:after="0" w:line="240" w:lineRule="auto"/>
              <w:rPr>
                <w:rFonts w:ascii="Work Sans" w:eastAsia="Work Sans" w:hAnsi="Work Sans" w:cs="Work Sans"/>
                <w:b/>
                <w:kern w:val="0"/>
                <w:sz w:val="20"/>
                <w:szCs w:val="20"/>
                <w:lang w:eastAsia="en-GB"/>
                <w14:ligatures w14:val="none"/>
              </w:rPr>
            </w:pPr>
            <w:r w:rsidRPr="00355020">
              <w:rPr>
                <w:rFonts w:ascii="Work Sans" w:eastAsia="Work Sans" w:hAnsi="Work Sans" w:cs="Work Sans"/>
                <w:b/>
                <w:kern w:val="0"/>
                <w:sz w:val="20"/>
                <w:szCs w:val="20"/>
                <w:lang w:eastAsia="en-GB"/>
                <w14:ligatures w14:val="none"/>
              </w:rPr>
              <w:t>Workshop Outputs</w:t>
            </w:r>
          </w:p>
        </w:tc>
        <w:tc>
          <w:tcPr>
            <w:tcW w:w="7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E1BB1" w14:textId="77777777" w:rsidR="00355020" w:rsidRPr="00355020" w:rsidRDefault="00737908" w:rsidP="00737908">
            <w:pPr>
              <w:spacing w:after="0" w:line="240" w:lineRule="auto"/>
              <w:rPr>
                <w:rFonts w:ascii="Work Sans" w:eastAsia="Work Sans" w:hAnsi="Work Sans" w:cs="Work Sans"/>
                <w:i/>
                <w:kern w:val="0"/>
                <w:sz w:val="20"/>
                <w:szCs w:val="20"/>
                <w:lang w:eastAsia="en-GB"/>
                <w14:ligatures w14:val="none"/>
              </w:rPr>
            </w:pPr>
            <w:r>
              <w:rPr>
                <w:rFonts w:ascii="Work Sans" w:eastAsia="Work Sans" w:hAnsi="Work Sans" w:cs="Work Sans"/>
                <w:kern w:val="0"/>
                <w:sz w:val="20"/>
                <w:szCs w:val="20"/>
                <w:lang w:eastAsia="en-GB"/>
                <w14:ligatures w14:val="none"/>
              </w:rPr>
              <w:t>N/A</w:t>
            </w:r>
          </w:p>
        </w:tc>
      </w:tr>
      <w:tr w:rsidR="00355020" w:rsidRPr="00355020" w14:paraId="5C409117" w14:textId="77777777" w:rsidTr="00355020">
        <w:tc>
          <w:tcPr>
            <w:tcW w:w="2066"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058584E5" w14:textId="77777777" w:rsidR="00355020" w:rsidRPr="00355020" w:rsidRDefault="00355020" w:rsidP="00355020">
            <w:pPr>
              <w:spacing w:after="0" w:line="240" w:lineRule="auto"/>
              <w:rPr>
                <w:rFonts w:ascii="Work Sans" w:eastAsia="Work Sans" w:hAnsi="Work Sans" w:cs="Work Sans"/>
                <w:b/>
                <w:kern w:val="0"/>
                <w:sz w:val="20"/>
                <w:szCs w:val="20"/>
                <w:lang w:eastAsia="en-GB"/>
                <w14:ligatures w14:val="none"/>
              </w:rPr>
            </w:pPr>
            <w:r w:rsidRPr="00355020">
              <w:rPr>
                <w:rFonts w:ascii="Work Sans" w:eastAsia="Work Sans" w:hAnsi="Work Sans" w:cs="Work Sans"/>
                <w:b/>
                <w:kern w:val="0"/>
                <w:sz w:val="20"/>
                <w:szCs w:val="20"/>
                <w:lang w:eastAsia="en-GB"/>
                <w14:ligatures w14:val="none"/>
              </w:rPr>
              <w:t>Low-Fi Wires</w:t>
            </w:r>
          </w:p>
        </w:tc>
        <w:tc>
          <w:tcPr>
            <w:tcW w:w="7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06FA" w14:textId="77777777" w:rsidR="00355020" w:rsidRPr="00355020" w:rsidRDefault="00737908" w:rsidP="00737908">
            <w:pPr>
              <w:spacing w:after="0" w:line="240" w:lineRule="auto"/>
              <w:rPr>
                <w:rFonts w:ascii="Work Sans" w:eastAsia="Work Sans" w:hAnsi="Work Sans" w:cs="Work Sans"/>
                <w:i/>
                <w:kern w:val="0"/>
                <w:sz w:val="20"/>
                <w:szCs w:val="20"/>
                <w:lang w:eastAsia="en-GB"/>
                <w14:ligatures w14:val="none"/>
              </w:rPr>
            </w:pPr>
            <w:r>
              <w:rPr>
                <w:rFonts w:ascii="Work Sans" w:eastAsia="Work Sans" w:hAnsi="Work Sans" w:cs="Work Sans"/>
                <w:kern w:val="0"/>
                <w:sz w:val="20"/>
                <w:szCs w:val="20"/>
                <w:lang w:eastAsia="en-GB"/>
                <w14:ligatures w14:val="none"/>
              </w:rPr>
              <w:t>N/A</w:t>
            </w:r>
          </w:p>
        </w:tc>
      </w:tr>
      <w:tr w:rsidR="00355020" w:rsidRPr="00355020" w14:paraId="714A38AB" w14:textId="77777777" w:rsidTr="00355020">
        <w:trPr>
          <w:trHeight w:val="215"/>
        </w:trPr>
        <w:tc>
          <w:tcPr>
            <w:tcW w:w="2066"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340B0B54" w14:textId="77777777" w:rsidR="00355020" w:rsidRPr="00355020" w:rsidRDefault="00355020" w:rsidP="00355020">
            <w:pPr>
              <w:spacing w:after="0" w:line="240" w:lineRule="auto"/>
              <w:rPr>
                <w:rFonts w:ascii="Work Sans" w:eastAsia="Work Sans" w:hAnsi="Work Sans" w:cs="Work Sans"/>
                <w:b/>
                <w:kern w:val="0"/>
                <w:sz w:val="20"/>
                <w:szCs w:val="20"/>
                <w:lang w:eastAsia="en-GB"/>
                <w14:ligatures w14:val="none"/>
              </w:rPr>
            </w:pPr>
            <w:r w:rsidRPr="00355020">
              <w:rPr>
                <w:rFonts w:ascii="Work Sans" w:eastAsia="Work Sans" w:hAnsi="Work Sans" w:cs="Work Sans"/>
                <w:b/>
                <w:kern w:val="0"/>
                <w:sz w:val="20"/>
                <w:szCs w:val="20"/>
                <w:lang w:eastAsia="en-GB"/>
                <w14:ligatures w14:val="none"/>
              </w:rPr>
              <w:t>Prototype</w:t>
            </w:r>
          </w:p>
        </w:tc>
        <w:tc>
          <w:tcPr>
            <w:tcW w:w="7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E658A" w14:textId="77777777" w:rsidR="00355020" w:rsidRPr="00355020" w:rsidRDefault="00737908" w:rsidP="00737908">
            <w:pPr>
              <w:tabs>
                <w:tab w:val="center" w:pos="3611"/>
              </w:tabs>
              <w:spacing w:after="0" w:line="240" w:lineRule="auto"/>
              <w:rPr>
                <w:rFonts w:ascii="Work Sans" w:eastAsia="Work Sans" w:hAnsi="Work Sans" w:cs="Work Sans"/>
                <w:i/>
                <w:kern w:val="0"/>
                <w:sz w:val="20"/>
                <w:szCs w:val="20"/>
                <w:lang w:eastAsia="en-GB"/>
                <w14:ligatures w14:val="none"/>
              </w:rPr>
            </w:pPr>
            <w:r>
              <w:rPr>
                <w:rFonts w:ascii="Work Sans" w:eastAsia="Work Sans" w:hAnsi="Work Sans" w:cs="Work Sans"/>
                <w:kern w:val="0"/>
                <w:sz w:val="20"/>
                <w:szCs w:val="20"/>
                <w:lang w:eastAsia="en-GB"/>
                <w14:ligatures w14:val="none"/>
              </w:rPr>
              <w:t>N/A</w:t>
            </w:r>
          </w:p>
        </w:tc>
      </w:tr>
      <w:tr w:rsidR="00355020" w:rsidRPr="00355020" w14:paraId="1D325F65" w14:textId="77777777" w:rsidTr="00355020">
        <w:trPr>
          <w:trHeight w:val="25"/>
        </w:trPr>
        <w:tc>
          <w:tcPr>
            <w:tcW w:w="2066"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476CFAA5" w14:textId="77777777" w:rsidR="00355020" w:rsidRPr="00355020" w:rsidRDefault="00355020" w:rsidP="00355020">
            <w:pPr>
              <w:spacing w:after="0" w:line="240" w:lineRule="auto"/>
              <w:rPr>
                <w:rFonts w:ascii="Work Sans" w:eastAsia="Work Sans" w:hAnsi="Work Sans" w:cs="Work Sans"/>
                <w:b/>
                <w:kern w:val="0"/>
                <w:sz w:val="20"/>
                <w:szCs w:val="20"/>
                <w:lang w:eastAsia="en-GB"/>
                <w14:ligatures w14:val="none"/>
              </w:rPr>
            </w:pPr>
            <w:r w:rsidRPr="00355020">
              <w:rPr>
                <w:rFonts w:ascii="Work Sans" w:eastAsia="Work Sans" w:hAnsi="Work Sans" w:cs="Work Sans"/>
                <w:b/>
                <w:kern w:val="0"/>
                <w:sz w:val="20"/>
                <w:szCs w:val="20"/>
                <w:lang w:eastAsia="en-GB"/>
                <w14:ligatures w14:val="none"/>
              </w:rPr>
              <w:t>Final Designs</w:t>
            </w:r>
          </w:p>
        </w:tc>
        <w:tc>
          <w:tcPr>
            <w:tcW w:w="7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875F7" w14:textId="77777777" w:rsidR="00355020" w:rsidRPr="00355020" w:rsidRDefault="00737908" w:rsidP="00737908">
            <w:pPr>
              <w:spacing w:after="0" w:line="240" w:lineRule="auto"/>
              <w:rPr>
                <w:rFonts w:ascii="Work Sans" w:eastAsia="Work Sans" w:hAnsi="Work Sans" w:cs="Work Sans"/>
                <w:i/>
                <w:kern w:val="0"/>
                <w:sz w:val="20"/>
                <w:szCs w:val="20"/>
                <w:lang w:eastAsia="en-GB"/>
                <w14:ligatures w14:val="none"/>
              </w:rPr>
            </w:pPr>
            <w:r>
              <w:rPr>
                <w:rFonts w:ascii="Work Sans" w:eastAsia="Work Sans" w:hAnsi="Work Sans" w:cs="Work Sans"/>
                <w:kern w:val="0"/>
                <w:sz w:val="20"/>
                <w:szCs w:val="20"/>
                <w:lang w:eastAsia="en-GB"/>
                <w14:ligatures w14:val="none"/>
              </w:rPr>
              <w:t>N/A</w:t>
            </w:r>
          </w:p>
        </w:tc>
      </w:tr>
      <w:tr w:rsidR="00F32887" w:rsidRPr="00355020" w14:paraId="7F72F1E0" w14:textId="77777777" w:rsidTr="00355020">
        <w:trPr>
          <w:trHeight w:val="25"/>
        </w:trPr>
        <w:tc>
          <w:tcPr>
            <w:tcW w:w="2066"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585BD8ED" w14:textId="05112BEE" w:rsidR="00F32887" w:rsidRPr="00355020" w:rsidRDefault="00F32887" w:rsidP="00355020">
            <w:pPr>
              <w:spacing w:after="0" w:line="240" w:lineRule="auto"/>
              <w:rPr>
                <w:rFonts w:ascii="Work Sans" w:eastAsia="Work Sans" w:hAnsi="Work Sans" w:cs="Work Sans"/>
                <w:b/>
                <w:kern w:val="0"/>
                <w:sz w:val="20"/>
                <w:szCs w:val="20"/>
                <w:lang w:eastAsia="en-GB"/>
                <w14:ligatures w14:val="none"/>
              </w:rPr>
            </w:pPr>
            <w:r>
              <w:rPr>
                <w:rFonts w:ascii="Work Sans" w:eastAsia="Work Sans" w:hAnsi="Work Sans" w:cs="Work Sans"/>
                <w:b/>
                <w:kern w:val="0"/>
                <w:sz w:val="20"/>
                <w:szCs w:val="20"/>
                <w:lang w:eastAsia="en-GB"/>
                <w14:ligatures w14:val="none"/>
              </w:rPr>
              <w:t>Confluence Page</w:t>
            </w:r>
          </w:p>
        </w:tc>
        <w:tc>
          <w:tcPr>
            <w:tcW w:w="7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DD14A" w14:textId="4A012430" w:rsidR="00F32887" w:rsidRDefault="0049148F" w:rsidP="00737908">
            <w:pPr>
              <w:spacing w:after="0" w:line="240" w:lineRule="auto"/>
              <w:rPr>
                <w:rFonts w:ascii="Work Sans" w:eastAsia="Work Sans" w:hAnsi="Work Sans" w:cs="Work Sans"/>
                <w:kern w:val="0"/>
                <w:sz w:val="20"/>
                <w:szCs w:val="20"/>
                <w:lang w:eastAsia="en-GB"/>
                <w14:ligatures w14:val="none"/>
              </w:rPr>
            </w:pPr>
            <w:hyperlink r:id="rId8" w:history="1">
              <w:r w:rsidRPr="00FF6CA4">
                <w:rPr>
                  <w:rStyle w:val="Hyperlink"/>
                  <w:rFonts w:ascii="Work Sans" w:eastAsia="Work Sans" w:hAnsi="Work Sans" w:cs="Work Sans"/>
                  <w:kern w:val="0"/>
                  <w:sz w:val="20"/>
                  <w:szCs w:val="20"/>
                  <w:lang w:eastAsia="en-GB"/>
                  <w14:ligatures w14:val="none"/>
                </w:rPr>
                <w:t xml:space="preserve">Link to </w:t>
              </w:r>
              <w:r w:rsidR="00BD56E1" w:rsidRPr="00FF6CA4">
                <w:rPr>
                  <w:rStyle w:val="Hyperlink"/>
                  <w:rFonts w:ascii="Work Sans" w:eastAsia="Work Sans" w:hAnsi="Work Sans" w:cs="Work Sans"/>
                  <w:kern w:val="0"/>
                  <w:sz w:val="20"/>
                  <w:szCs w:val="20"/>
                  <w:lang w:eastAsia="en-GB"/>
                  <w14:ligatures w14:val="none"/>
                </w:rPr>
                <w:t>Confluence Page</w:t>
              </w:r>
            </w:hyperlink>
          </w:p>
        </w:tc>
      </w:tr>
      <w:tr w:rsidR="00355020" w:rsidRPr="00355020" w14:paraId="30A896AF" w14:textId="77777777" w:rsidTr="00355020">
        <w:trPr>
          <w:trHeight w:val="328"/>
        </w:trPr>
        <w:tc>
          <w:tcPr>
            <w:tcW w:w="2066"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3082774A" w14:textId="7FF8E860" w:rsidR="00355020" w:rsidRPr="00355020" w:rsidRDefault="00F32887" w:rsidP="00355020">
            <w:pPr>
              <w:spacing w:after="0" w:line="240" w:lineRule="auto"/>
              <w:rPr>
                <w:rFonts w:ascii="Work Sans" w:eastAsia="Work Sans" w:hAnsi="Work Sans" w:cs="Work Sans"/>
                <w:b/>
                <w:color w:val="000000"/>
                <w:kern w:val="0"/>
                <w:sz w:val="20"/>
                <w:szCs w:val="20"/>
                <w:lang w:eastAsia="en-GB"/>
                <w14:ligatures w14:val="none"/>
              </w:rPr>
            </w:pPr>
            <w:r>
              <w:rPr>
                <w:rFonts w:ascii="Work Sans" w:eastAsia="Work Sans" w:hAnsi="Work Sans" w:cs="Work Sans"/>
                <w:b/>
                <w:color w:val="000000"/>
                <w:kern w:val="0"/>
                <w:sz w:val="20"/>
                <w:szCs w:val="20"/>
                <w:lang w:eastAsia="en-GB"/>
                <w14:ligatures w14:val="none"/>
              </w:rPr>
              <w:t>Jira Board</w:t>
            </w:r>
          </w:p>
        </w:tc>
        <w:tc>
          <w:tcPr>
            <w:tcW w:w="7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7244F" w14:textId="4BC7763B" w:rsidR="00355020" w:rsidRPr="00355020" w:rsidRDefault="000B3568" w:rsidP="00737908">
            <w:pPr>
              <w:spacing w:after="0" w:line="240" w:lineRule="auto"/>
              <w:rPr>
                <w:rFonts w:ascii="Work Sans" w:eastAsia="Work Sans" w:hAnsi="Work Sans" w:cs="Work Sans"/>
                <w:i/>
                <w:kern w:val="0"/>
                <w:sz w:val="20"/>
                <w:szCs w:val="20"/>
                <w:lang w:eastAsia="en-GB"/>
                <w14:ligatures w14:val="none"/>
              </w:rPr>
            </w:pPr>
            <w:r w:rsidRPr="0038682D">
              <w:rPr>
                <w:rFonts w:ascii="Work Sans" w:eastAsia="Work Sans" w:hAnsi="Work Sans" w:cs="Work Sans"/>
                <w:kern w:val="0"/>
                <w:sz w:val="20"/>
                <w:szCs w:val="20"/>
                <w:lang w:eastAsia="en-GB"/>
                <w14:ligatures w14:val="none"/>
              </w:rPr>
              <w:t>Link to board</w:t>
            </w:r>
          </w:p>
        </w:tc>
      </w:tr>
    </w:tbl>
    <w:p w14:paraId="4EA982F4" w14:textId="77777777" w:rsidR="00355020" w:rsidRPr="00355020" w:rsidRDefault="00355020" w:rsidP="00355020"/>
    <w:p w14:paraId="58119A23" w14:textId="77777777" w:rsidR="00355020" w:rsidRDefault="00355020" w:rsidP="00355020">
      <w:pPr>
        <w:pStyle w:val="Heading3"/>
      </w:pPr>
      <w:r>
        <w:t>Technical Specifications</w:t>
      </w:r>
    </w:p>
    <w:tbl>
      <w:tblPr>
        <w:tblW w:w="9488" w:type="dxa"/>
        <w:tblLayout w:type="fixed"/>
        <w:tblLook w:val="0400" w:firstRow="0" w:lastRow="0" w:firstColumn="0" w:lastColumn="0" w:noHBand="0" w:noVBand="1"/>
      </w:tblPr>
      <w:tblGrid>
        <w:gridCol w:w="2117"/>
        <w:gridCol w:w="7371"/>
      </w:tblGrid>
      <w:tr w:rsidR="00355020" w:rsidRPr="00355020" w14:paraId="6214FB31" w14:textId="77777777" w:rsidTr="00355020">
        <w:tc>
          <w:tcPr>
            <w:tcW w:w="211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36532634" w14:textId="77777777" w:rsidR="00355020" w:rsidRPr="00355020" w:rsidRDefault="00355020" w:rsidP="00355020">
            <w:pPr>
              <w:spacing w:after="0" w:line="240" w:lineRule="auto"/>
              <w:rPr>
                <w:rFonts w:ascii="Work Sans" w:eastAsia="Work Sans" w:hAnsi="Work Sans" w:cs="Work Sans"/>
                <w:b/>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 xml:space="preserve">Architecture </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34E05" w14:textId="7FCC5E31" w:rsidR="00355020" w:rsidRPr="00F32887" w:rsidRDefault="00F32887" w:rsidP="00355020">
            <w:pPr>
              <w:spacing w:after="0" w:line="240" w:lineRule="auto"/>
              <w:rPr>
                <w:rFonts w:ascii="Work Sans" w:eastAsia="Work Sans" w:hAnsi="Work Sans" w:cs="Work Sans"/>
                <w:iCs/>
                <w:kern w:val="0"/>
                <w:sz w:val="20"/>
                <w:szCs w:val="20"/>
                <w:lang w:eastAsia="en-GB"/>
                <w14:ligatures w14:val="none"/>
              </w:rPr>
            </w:pPr>
            <w:r w:rsidRPr="00344B6C">
              <w:rPr>
                <w:rFonts w:ascii="Work Sans" w:eastAsia="Work Sans" w:hAnsi="Work Sans" w:cs="Work Sans"/>
                <w:iCs/>
                <w:kern w:val="0"/>
                <w:sz w:val="20"/>
                <w:szCs w:val="20"/>
                <w:lang w:eastAsia="en-GB"/>
                <w14:ligatures w14:val="none"/>
              </w:rPr>
              <w:t>Solution Design</w:t>
            </w:r>
          </w:p>
        </w:tc>
      </w:tr>
      <w:tr w:rsidR="00355020" w:rsidRPr="00355020" w14:paraId="7F31691B" w14:textId="77777777" w:rsidTr="00355020">
        <w:tc>
          <w:tcPr>
            <w:tcW w:w="211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59F57DC9" w14:textId="77777777" w:rsidR="00355020" w:rsidRPr="00355020" w:rsidRDefault="00355020" w:rsidP="00355020">
            <w:pPr>
              <w:spacing w:after="0" w:line="240" w:lineRule="auto"/>
              <w:rPr>
                <w:rFonts w:ascii="Work Sans" w:eastAsia="Work Sans" w:hAnsi="Work Sans" w:cs="Work Sans"/>
                <w:b/>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API Specification</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772F1" w14:textId="77777777" w:rsidR="00355020" w:rsidRPr="00355020" w:rsidRDefault="0034626F" w:rsidP="00355020">
            <w:pPr>
              <w:spacing w:after="0" w:line="240" w:lineRule="auto"/>
              <w:rPr>
                <w:rFonts w:ascii="Work Sans" w:eastAsia="Work Sans" w:hAnsi="Work Sans" w:cs="Work Sans"/>
                <w:kern w:val="0"/>
                <w:sz w:val="20"/>
                <w:szCs w:val="20"/>
                <w:lang w:eastAsia="en-GB"/>
                <w14:ligatures w14:val="none"/>
              </w:rPr>
            </w:pPr>
            <w:r>
              <w:rPr>
                <w:rFonts w:ascii="Work Sans" w:eastAsia="Work Sans" w:hAnsi="Work Sans" w:cs="Work Sans"/>
                <w:kern w:val="0"/>
                <w:sz w:val="20"/>
                <w:szCs w:val="20"/>
                <w:lang w:eastAsia="en-GB"/>
                <w14:ligatures w14:val="none"/>
              </w:rPr>
              <w:t>TBA</w:t>
            </w:r>
          </w:p>
        </w:tc>
      </w:tr>
      <w:tr w:rsidR="00355020" w:rsidRPr="00355020" w14:paraId="2F5D674F" w14:textId="77777777" w:rsidTr="00355020">
        <w:tc>
          <w:tcPr>
            <w:tcW w:w="211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259A1DAE" w14:textId="77777777" w:rsidR="00355020" w:rsidRPr="00355020" w:rsidRDefault="00355020" w:rsidP="00355020">
            <w:pPr>
              <w:spacing w:after="0" w:line="240" w:lineRule="auto"/>
              <w:rPr>
                <w:rFonts w:ascii="Work Sans" w:eastAsia="Work Sans" w:hAnsi="Work Sans" w:cs="Work Sans"/>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lastRenderedPageBreak/>
              <w:t>Transaction</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17334" w14:textId="77777777" w:rsidR="00355020" w:rsidRPr="00355020" w:rsidRDefault="00A7740F" w:rsidP="00355020">
            <w:pPr>
              <w:spacing w:after="0" w:line="240" w:lineRule="auto"/>
              <w:rPr>
                <w:rFonts w:ascii="Work Sans" w:eastAsia="Work Sans" w:hAnsi="Work Sans" w:cs="Work Sans"/>
                <w:kern w:val="0"/>
                <w:sz w:val="20"/>
                <w:szCs w:val="20"/>
                <w:lang w:eastAsia="en-GB"/>
                <w14:ligatures w14:val="none"/>
              </w:rPr>
            </w:pPr>
            <w:r>
              <w:rPr>
                <w:rFonts w:ascii="Work Sans" w:eastAsia="Work Sans" w:hAnsi="Work Sans" w:cs="Work Sans"/>
                <w:kern w:val="0"/>
                <w:sz w:val="20"/>
                <w:szCs w:val="20"/>
                <w:lang w:eastAsia="en-GB"/>
                <w14:ligatures w14:val="none"/>
              </w:rPr>
              <w:t>N/A</w:t>
            </w:r>
          </w:p>
        </w:tc>
      </w:tr>
      <w:tr w:rsidR="00355020" w:rsidRPr="00355020" w14:paraId="0BB4F24B" w14:textId="77777777" w:rsidTr="00355020">
        <w:tc>
          <w:tcPr>
            <w:tcW w:w="211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2D511E3D" w14:textId="77777777" w:rsidR="00355020" w:rsidRPr="00355020" w:rsidRDefault="00355020" w:rsidP="00355020">
            <w:pPr>
              <w:spacing w:after="0" w:line="240" w:lineRule="auto"/>
              <w:rPr>
                <w:rFonts w:ascii="Work Sans" w:eastAsia="Work Sans" w:hAnsi="Work Sans" w:cs="Work Sans"/>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Infrastructure</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1CA27" w14:textId="5E467263" w:rsidR="00355020" w:rsidRPr="00355020" w:rsidRDefault="00355020" w:rsidP="00355020">
            <w:pPr>
              <w:spacing w:after="0" w:line="240" w:lineRule="auto"/>
              <w:rPr>
                <w:rFonts w:ascii="Work Sans" w:eastAsia="Work Sans" w:hAnsi="Work Sans" w:cs="Work Sans"/>
                <w:i/>
                <w:color w:val="666666"/>
                <w:kern w:val="0"/>
                <w:sz w:val="20"/>
                <w:szCs w:val="20"/>
                <w:lang w:eastAsia="en-GB"/>
                <w14:ligatures w14:val="none"/>
              </w:rPr>
            </w:pPr>
          </w:p>
        </w:tc>
      </w:tr>
    </w:tbl>
    <w:p w14:paraId="37BFDC99" w14:textId="77777777" w:rsidR="00355020" w:rsidRDefault="00355020" w:rsidP="00355020"/>
    <w:p w14:paraId="567E99A5" w14:textId="77777777" w:rsidR="00355020" w:rsidRDefault="00355020" w:rsidP="00355020">
      <w:pPr>
        <w:pStyle w:val="Heading3"/>
      </w:pPr>
      <w:r>
        <w:t>Reporting / Tracking</w:t>
      </w:r>
    </w:p>
    <w:tbl>
      <w:tblPr>
        <w:tblW w:w="9488" w:type="dxa"/>
        <w:tblLayout w:type="fixed"/>
        <w:tblLook w:val="0400" w:firstRow="0" w:lastRow="0" w:firstColumn="0" w:lastColumn="0" w:noHBand="0" w:noVBand="1"/>
      </w:tblPr>
      <w:tblGrid>
        <w:gridCol w:w="4400"/>
        <w:gridCol w:w="1241"/>
        <w:gridCol w:w="1530"/>
        <w:gridCol w:w="2317"/>
      </w:tblGrid>
      <w:tr w:rsidR="00355020" w:rsidRPr="00355020" w14:paraId="1269782D" w14:textId="77777777" w:rsidTr="00EB0DFB">
        <w:tc>
          <w:tcPr>
            <w:tcW w:w="4400" w:type="dxa"/>
            <w:tcBorders>
              <w:top w:val="single" w:sz="8" w:space="0" w:color="000000"/>
              <w:left w:val="single" w:sz="8" w:space="0" w:color="000000"/>
              <w:bottom w:val="single" w:sz="8" w:space="0" w:color="000000"/>
              <w:right w:val="single" w:sz="8" w:space="0" w:color="000000"/>
            </w:tcBorders>
            <w:shd w:val="clear" w:color="auto" w:fill="E7E6E6"/>
            <w:tcMar>
              <w:top w:w="15" w:type="dxa"/>
              <w:left w:w="15" w:type="dxa"/>
              <w:bottom w:w="15" w:type="dxa"/>
              <w:right w:w="15" w:type="dxa"/>
            </w:tcMar>
          </w:tcPr>
          <w:p w14:paraId="51D93465" w14:textId="77777777" w:rsidR="00355020" w:rsidRPr="00355020" w:rsidRDefault="00355020" w:rsidP="00355020">
            <w:pPr>
              <w:spacing w:after="0" w:line="240" w:lineRule="auto"/>
              <w:rPr>
                <w:rFonts w:ascii="Work Sans" w:eastAsia="Work Sans" w:hAnsi="Work Sans" w:cs="Work Sans"/>
                <w:b/>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Key performance indicator</w:t>
            </w:r>
          </w:p>
        </w:tc>
        <w:tc>
          <w:tcPr>
            <w:tcW w:w="1241" w:type="dxa"/>
            <w:tcBorders>
              <w:top w:val="single" w:sz="8" w:space="0" w:color="000000"/>
              <w:left w:val="single" w:sz="8" w:space="0" w:color="000000"/>
              <w:bottom w:val="single" w:sz="8" w:space="0" w:color="000000"/>
              <w:right w:val="single" w:sz="8" w:space="0" w:color="000000"/>
            </w:tcBorders>
            <w:shd w:val="clear" w:color="auto" w:fill="E7E6E6"/>
            <w:tcMar>
              <w:top w:w="15" w:type="dxa"/>
              <w:left w:w="15" w:type="dxa"/>
              <w:bottom w:w="15" w:type="dxa"/>
              <w:right w:w="15" w:type="dxa"/>
            </w:tcMar>
          </w:tcPr>
          <w:p w14:paraId="14BBDE49" w14:textId="77777777" w:rsidR="00355020" w:rsidRPr="00355020" w:rsidRDefault="00355020" w:rsidP="00355020">
            <w:pPr>
              <w:spacing w:after="0" w:line="240" w:lineRule="auto"/>
              <w:rPr>
                <w:rFonts w:ascii="Work Sans" w:eastAsia="Work Sans" w:hAnsi="Work Sans" w:cs="Work Sans"/>
                <w:b/>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 xml:space="preserve"> Baseline</w:t>
            </w:r>
          </w:p>
        </w:tc>
        <w:tc>
          <w:tcPr>
            <w:tcW w:w="153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064B56F6" w14:textId="77777777" w:rsidR="00355020" w:rsidRPr="00355020" w:rsidRDefault="00355020" w:rsidP="00355020">
            <w:pPr>
              <w:spacing w:after="0" w:line="240" w:lineRule="auto"/>
              <w:rPr>
                <w:rFonts w:ascii="Work Sans" w:eastAsia="Work Sans" w:hAnsi="Work Sans" w:cs="Work Sans"/>
                <w:b/>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Target</w:t>
            </w:r>
          </w:p>
        </w:tc>
        <w:tc>
          <w:tcPr>
            <w:tcW w:w="2317" w:type="dxa"/>
            <w:tcBorders>
              <w:top w:val="single" w:sz="8" w:space="0" w:color="000000"/>
              <w:left w:val="single" w:sz="8" w:space="0" w:color="000000"/>
              <w:bottom w:val="single" w:sz="8" w:space="0" w:color="000000"/>
              <w:right w:val="single" w:sz="8" w:space="0" w:color="000000"/>
            </w:tcBorders>
            <w:shd w:val="clear" w:color="auto" w:fill="E7E6E6"/>
            <w:tcMar>
              <w:top w:w="15" w:type="dxa"/>
              <w:left w:w="15" w:type="dxa"/>
              <w:bottom w:w="15" w:type="dxa"/>
              <w:right w:w="15" w:type="dxa"/>
            </w:tcMar>
          </w:tcPr>
          <w:p w14:paraId="1353D6F0" w14:textId="77777777" w:rsidR="00355020" w:rsidRPr="00355020" w:rsidRDefault="00355020" w:rsidP="00355020">
            <w:pPr>
              <w:spacing w:after="0" w:line="240" w:lineRule="auto"/>
              <w:rPr>
                <w:rFonts w:ascii="Work Sans" w:eastAsia="Work Sans" w:hAnsi="Work Sans" w:cs="Work Sans"/>
                <w:b/>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Timeframe</w:t>
            </w:r>
          </w:p>
        </w:tc>
      </w:tr>
      <w:tr w:rsidR="00355020" w:rsidRPr="00355020" w14:paraId="2A0ACC2C" w14:textId="77777777" w:rsidTr="00EB0DFB">
        <w:trPr>
          <w:trHeight w:val="249"/>
        </w:trPr>
        <w:tc>
          <w:tcPr>
            <w:tcW w:w="44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33418A8" w14:textId="6EF1D931" w:rsidR="00355020" w:rsidRPr="00355020" w:rsidRDefault="00355020" w:rsidP="00EB0DFB">
            <w:pPr>
              <w:spacing w:after="0" w:line="240" w:lineRule="auto"/>
              <w:rPr>
                <w:rFonts w:ascii="Work Sans" w:eastAsia="Work Sans" w:hAnsi="Work Sans" w:cs="Work Sans"/>
                <w:color w:val="000000"/>
                <w:kern w:val="0"/>
                <w:sz w:val="20"/>
                <w:szCs w:val="20"/>
                <w:lang w:eastAsia="en-GB"/>
                <w14:ligatures w14:val="none"/>
              </w:rPr>
            </w:pPr>
          </w:p>
        </w:tc>
        <w:tc>
          <w:tcPr>
            <w:tcW w:w="124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0A2DBB8" w14:textId="60A32C92" w:rsidR="00355020" w:rsidRPr="00355020" w:rsidRDefault="00355020" w:rsidP="00355020">
            <w:pPr>
              <w:spacing w:after="0" w:line="240" w:lineRule="auto"/>
              <w:jc w:val="center"/>
              <w:rPr>
                <w:rFonts w:ascii="Work Sans" w:eastAsia="Work Sans" w:hAnsi="Work Sans" w:cs="Work Sans"/>
                <w:color w:val="000000"/>
                <w:kern w:val="0"/>
                <w:sz w:val="20"/>
                <w:szCs w:val="20"/>
                <w:lang w:eastAsia="en-GB"/>
                <w14:ligatures w14:val="none"/>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3F0E4" w14:textId="17883D45" w:rsidR="00355020" w:rsidRPr="00355020" w:rsidRDefault="00355020" w:rsidP="00355020">
            <w:pPr>
              <w:spacing w:after="0" w:line="240" w:lineRule="auto"/>
              <w:jc w:val="center"/>
              <w:rPr>
                <w:rFonts w:ascii="Work Sans" w:eastAsia="Work Sans" w:hAnsi="Work Sans" w:cs="Work Sans"/>
                <w:color w:val="000000"/>
                <w:kern w:val="0"/>
                <w:sz w:val="20"/>
                <w:szCs w:val="20"/>
                <w:lang w:eastAsia="en-GB"/>
                <w14:ligatures w14:val="none"/>
              </w:rPr>
            </w:pPr>
          </w:p>
        </w:tc>
        <w:tc>
          <w:tcPr>
            <w:tcW w:w="231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7CD4CDE" w14:textId="13574F41" w:rsidR="00355020" w:rsidRPr="00355020" w:rsidRDefault="00355020" w:rsidP="00355020">
            <w:pPr>
              <w:spacing w:after="0" w:line="240" w:lineRule="auto"/>
              <w:jc w:val="center"/>
              <w:rPr>
                <w:rFonts w:ascii="Work Sans" w:eastAsia="Work Sans" w:hAnsi="Work Sans" w:cs="Work Sans"/>
                <w:color w:val="000000"/>
                <w:kern w:val="0"/>
                <w:sz w:val="20"/>
                <w:szCs w:val="20"/>
                <w:lang w:eastAsia="en-GB"/>
                <w14:ligatures w14:val="none"/>
              </w:rPr>
            </w:pPr>
          </w:p>
        </w:tc>
      </w:tr>
      <w:tr w:rsidR="003E5869" w:rsidRPr="00355020" w14:paraId="54C08A0A" w14:textId="77777777" w:rsidTr="00EB0DFB">
        <w:trPr>
          <w:trHeight w:val="249"/>
        </w:trPr>
        <w:tc>
          <w:tcPr>
            <w:tcW w:w="44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B47808F" w14:textId="34A07264" w:rsidR="003E5869" w:rsidRDefault="003E5869" w:rsidP="00EB0DFB">
            <w:pPr>
              <w:spacing w:after="0" w:line="240" w:lineRule="auto"/>
              <w:rPr>
                <w:rFonts w:ascii="Work Sans" w:eastAsia="Work Sans" w:hAnsi="Work Sans" w:cs="Work Sans"/>
                <w:color w:val="000000"/>
                <w:kern w:val="0"/>
                <w:sz w:val="20"/>
                <w:szCs w:val="20"/>
                <w:lang w:eastAsia="en-GB"/>
                <w14:ligatures w14:val="none"/>
              </w:rPr>
            </w:pPr>
          </w:p>
        </w:tc>
        <w:tc>
          <w:tcPr>
            <w:tcW w:w="124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11BE038" w14:textId="05C012DE" w:rsidR="003E5869" w:rsidRDefault="003E5869" w:rsidP="00355020">
            <w:pPr>
              <w:spacing w:after="0" w:line="240" w:lineRule="auto"/>
              <w:jc w:val="center"/>
              <w:rPr>
                <w:rFonts w:ascii="Work Sans" w:eastAsia="Work Sans" w:hAnsi="Work Sans" w:cs="Work Sans"/>
                <w:color w:val="000000"/>
                <w:kern w:val="0"/>
                <w:sz w:val="20"/>
                <w:szCs w:val="20"/>
                <w:lang w:eastAsia="en-GB"/>
                <w14:ligatures w14:val="none"/>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577F9" w14:textId="0679B276" w:rsidR="003E5869" w:rsidRDefault="003E5869" w:rsidP="00355020">
            <w:pPr>
              <w:spacing w:after="0" w:line="240" w:lineRule="auto"/>
              <w:jc w:val="center"/>
              <w:rPr>
                <w:rFonts w:ascii="Work Sans" w:eastAsia="Work Sans" w:hAnsi="Work Sans" w:cs="Work Sans"/>
                <w:color w:val="000000"/>
                <w:kern w:val="0"/>
                <w:sz w:val="20"/>
                <w:szCs w:val="20"/>
                <w:lang w:eastAsia="en-GB"/>
                <w14:ligatures w14:val="none"/>
              </w:rPr>
            </w:pPr>
          </w:p>
        </w:tc>
        <w:tc>
          <w:tcPr>
            <w:tcW w:w="231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68844B5" w14:textId="4F262C2E" w:rsidR="003E5869" w:rsidRDefault="003E5869" w:rsidP="00355020">
            <w:pPr>
              <w:spacing w:after="0" w:line="240" w:lineRule="auto"/>
              <w:jc w:val="center"/>
              <w:rPr>
                <w:rFonts w:ascii="Work Sans" w:eastAsia="Work Sans" w:hAnsi="Work Sans" w:cs="Work Sans"/>
                <w:color w:val="000000"/>
                <w:kern w:val="0"/>
                <w:sz w:val="20"/>
                <w:szCs w:val="20"/>
                <w:lang w:eastAsia="en-GB"/>
                <w14:ligatures w14:val="none"/>
              </w:rPr>
            </w:pPr>
          </w:p>
        </w:tc>
      </w:tr>
    </w:tbl>
    <w:p w14:paraId="382ACC10" w14:textId="77777777" w:rsidR="00E2762D" w:rsidRDefault="00E2762D" w:rsidP="00355020"/>
    <w:p w14:paraId="163D8A01" w14:textId="77777777" w:rsidR="00E2762D" w:rsidRDefault="00E2762D" w:rsidP="00355020"/>
    <w:p w14:paraId="51E3F34C" w14:textId="77777777" w:rsidR="00355020" w:rsidRDefault="00355020" w:rsidP="00355020">
      <w:r>
        <w:t>Approvals &amp; Sign-Off</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1"/>
        <w:gridCol w:w="2698"/>
        <w:gridCol w:w="3554"/>
      </w:tblGrid>
      <w:tr w:rsidR="00355020" w:rsidRPr="00355020" w14:paraId="5088824F" w14:textId="77777777" w:rsidTr="00355020">
        <w:trPr>
          <w:trHeight w:val="416"/>
        </w:trPr>
        <w:tc>
          <w:tcPr>
            <w:tcW w:w="3241" w:type="dxa"/>
            <w:shd w:val="clear" w:color="auto" w:fill="E7E6E6"/>
          </w:tcPr>
          <w:p w14:paraId="30F98786" w14:textId="77777777" w:rsidR="00355020" w:rsidRPr="00355020" w:rsidRDefault="00184E71" w:rsidP="00355020">
            <w:pPr>
              <w:spacing w:after="0" w:line="240" w:lineRule="auto"/>
              <w:rPr>
                <w:rFonts w:ascii="Work Sans" w:eastAsia="Work Sans" w:hAnsi="Work Sans" w:cs="Work Sans"/>
                <w:b/>
                <w:color w:val="000000"/>
                <w:kern w:val="0"/>
                <w:sz w:val="20"/>
                <w:szCs w:val="20"/>
                <w:lang w:eastAsia="en-GB"/>
                <w14:ligatures w14:val="none"/>
              </w:rPr>
            </w:pPr>
            <w:r>
              <w:rPr>
                <w:rFonts w:ascii="Work Sans" w:eastAsia="Work Sans" w:hAnsi="Work Sans" w:cs="Work Sans"/>
                <w:b/>
                <w:color w:val="000000"/>
                <w:kern w:val="0"/>
                <w:sz w:val="20"/>
                <w:szCs w:val="20"/>
                <w:lang w:eastAsia="en-GB"/>
                <w14:ligatures w14:val="none"/>
              </w:rPr>
              <w:t>R</w:t>
            </w:r>
            <w:r w:rsidR="00355020" w:rsidRPr="00355020">
              <w:rPr>
                <w:rFonts w:ascii="Work Sans" w:eastAsia="Work Sans" w:hAnsi="Work Sans" w:cs="Work Sans"/>
                <w:b/>
                <w:color w:val="000000"/>
                <w:kern w:val="0"/>
                <w:sz w:val="20"/>
                <w:szCs w:val="20"/>
                <w:lang w:eastAsia="en-GB"/>
                <w14:ligatures w14:val="none"/>
              </w:rPr>
              <w:t xml:space="preserve">esponsibility </w:t>
            </w:r>
          </w:p>
        </w:tc>
        <w:tc>
          <w:tcPr>
            <w:tcW w:w="2698" w:type="dxa"/>
            <w:shd w:val="clear" w:color="auto" w:fill="E7E6E6"/>
          </w:tcPr>
          <w:p w14:paraId="6FD0DC25" w14:textId="77777777" w:rsidR="00355020" w:rsidRPr="00355020" w:rsidRDefault="00184E71" w:rsidP="00355020">
            <w:pPr>
              <w:spacing w:after="0" w:line="240" w:lineRule="auto"/>
              <w:rPr>
                <w:rFonts w:ascii="Work Sans" w:eastAsia="Work Sans" w:hAnsi="Work Sans" w:cs="Work Sans"/>
                <w:b/>
                <w:color w:val="000000"/>
                <w:kern w:val="0"/>
                <w:sz w:val="20"/>
                <w:szCs w:val="20"/>
                <w:lang w:eastAsia="en-GB"/>
                <w14:ligatures w14:val="none"/>
              </w:rPr>
            </w:pPr>
            <w:r>
              <w:rPr>
                <w:rFonts w:ascii="Work Sans" w:eastAsia="Work Sans" w:hAnsi="Work Sans" w:cs="Work Sans"/>
                <w:b/>
                <w:color w:val="000000"/>
                <w:kern w:val="0"/>
                <w:sz w:val="20"/>
                <w:szCs w:val="20"/>
                <w:lang w:eastAsia="en-GB"/>
                <w14:ligatures w14:val="none"/>
              </w:rPr>
              <w:t>Name</w:t>
            </w:r>
          </w:p>
        </w:tc>
        <w:tc>
          <w:tcPr>
            <w:tcW w:w="3554" w:type="dxa"/>
            <w:shd w:val="clear" w:color="auto" w:fill="E7E6E6"/>
          </w:tcPr>
          <w:p w14:paraId="3A9A67AF" w14:textId="77777777" w:rsidR="00355020" w:rsidRPr="00355020" w:rsidRDefault="00355020" w:rsidP="00355020">
            <w:pPr>
              <w:spacing w:after="0" w:line="240" w:lineRule="auto"/>
              <w:rPr>
                <w:rFonts w:ascii="Work Sans" w:eastAsia="Work Sans" w:hAnsi="Work Sans" w:cs="Work Sans"/>
                <w:b/>
                <w:color w:val="000000"/>
                <w:kern w:val="0"/>
                <w:sz w:val="20"/>
                <w:szCs w:val="20"/>
                <w:lang w:eastAsia="en-GB"/>
                <w14:ligatures w14:val="none"/>
              </w:rPr>
            </w:pPr>
            <w:r w:rsidRPr="00355020">
              <w:rPr>
                <w:rFonts w:ascii="Work Sans" w:eastAsia="Work Sans" w:hAnsi="Work Sans" w:cs="Work Sans"/>
                <w:b/>
                <w:color w:val="000000"/>
                <w:kern w:val="0"/>
                <w:sz w:val="20"/>
                <w:szCs w:val="20"/>
                <w:lang w:eastAsia="en-GB"/>
                <w14:ligatures w14:val="none"/>
              </w:rPr>
              <w:t xml:space="preserve">Sign off </w:t>
            </w:r>
          </w:p>
        </w:tc>
      </w:tr>
      <w:tr w:rsidR="00355020" w:rsidRPr="00355020" w14:paraId="158BE86D" w14:textId="77777777" w:rsidTr="00355020">
        <w:trPr>
          <w:trHeight w:val="405"/>
        </w:trPr>
        <w:tc>
          <w:tcPr>
            <w:tcW w:w="3241" w:type="dxa"/>
          </w:tcPr>
          <w:p w14:paraId="1FFBF375" w14:textId="77777777" w:rsidR="00355020" w:rsidRPr="00355020" w:rsidRDefault="00C16E68" w:rsidP="00355020">
            <w:pPr>
              <w:spacing w:after="0" w:line="240" w:lineRule="auto"/>
              <w:rPr>
                <w:rFonts w:ascii="Work Sans" w:eastAsia="Work Sans" w:hAnsi="Work Sans" w:cs="Work Sans"/>
                <w:color w:val="000000"/>
                <w:kern w:val="0"/>
                <w:sz w:val="20"/>
                <w:szCs w:val="20"/>
                <w:lang w:eastAsia="en-GB"/>
                <w14:ligatures w14:val="none"/>
              </w:rPr>
            </w:pPr>
            <w:r>
              <w:rPr>
                <w:rFonts w:ascii="Work Sans" w:eastAsia="Work Sans" w:hAnsi="Work Sans" w:cs="Work Sans"/>
                <w:color w:val="000000"/>
                <w:kern w:val="0"/>
                <w:sz w:val="20"/>
                <w:szCs w:val="20"/>
                <w:lang w:eastAsia="en-GB"/>
                <w14:ligatures w14:val="none"/>
              </w:rPr>
              <w:t>Group Product Manager</w:t>
            </w:r>
          </w:p>
        </w:tc>
        <w:tc>
          <w:tcPr>
            <w:tcW w:w="2698" w:type="dxa"/>
          </w:tcPr>
          <w:p w14:paraId="1FB7926B" w14:textId="26441777" w:rsidR="00355020" w:rsidRPr="00355020" w:rsidRDefault="00E14B3B" w:rsidP="00355020">
            <w:pPr>
              <w:spacing w:after="0" w:line="240" w:lineRule="auto"/>
              <w:rPr>
                <w:rFonts w:ascii="Work Sans" w:eastAsia="Work Sans" w:hAnsi="Work Sans" w:cs="Work Sans"/>
                <w:color w:val="000000"/>
                <w:kern w:val="0"/>
                <w:sz w:val="20"/>
                <w:szCs w:val="20"/>
                <w:lang w:eastAsia="en-GB"/>
                <w14:ligatures w14:val="none"/>
              </w:rPr>
            </w:pPr>
            <w:r>
              <w:rPr>
                <w:rFonts w:ascii="Work Sans" w:eastAsia="Work Sans" w:hAnsi="Work Sans" w:cs="Work Sans"/>
                <w:color w:val="000000"/>
                <w:kern w:val="0"/>
                <w:sz w:val="20"/>
                <w:szCs w:val="20"/>
                <w:lang w:eastAsia="en-GB"/>
                <w14:ligatures w14:val="none"/>
              </w:rPr>
              <w:t>Ryan Norton</w:t>
            </w:r>
          </w:p>
        </w:tc>
        <w:tc>
          <w:tcPr>
            <w:tcW w:w="3554" w:type="dxa"/>
          </w:tcPr>
          <w:p w14:paraId="6078CE36" w14:textId="77777777" w:rsidR="00355020" w:rsidRPr="00355020" w:rsidRDefault="00355020" w:rsidP="00355020">
            <w:pPr>
              <w:spacing w:after="0" w:line="240" w:lineRule="auto"/>
              <w:rPr>
                <w:rFonts w:ascii="Work Sans" w:eastAsia="Work Sans" w:hAnsi="Work Sans" w:cs="Work Sans"/>
                <w:color w:val="000000"/>
                <w:kern w:val="0"/>
                <w:sz w:val="20"/>
                <w:szCs w:val="20"/>
                <w:lang w:eastAsia="en-GB"/>
                <w14:ligatures w14:val="none"/>
              </w:rPr>
            </w:pPr>
          </w:p>
        </w:tc>
      </w:tr>
      <w:tr w:rsidR="00355020" w:rsidRPr="00355020" w14:paraId="7A446292" w14:textId="77777777" w:rsidTr="00355020">
        <w:trPr>
          <w:trHeight w:val="412"/>
        </w:trPr>
        <w:tc>
          <w:tcPr>
            <w:tcW w:w="3241" w:type="dxa"/>
          </w:tcPr>
          <w:p w14:paraId="33606C46" w14:textId="77777777" w:rsidR="00355020" w:rsidRPr="00355020" w:rsidRDefault="00184E71" w:rsidP="00355020">
            <w:pPr>
              <w:spacing w:after="0" w:line="240" w:lineRule="auto"/>
              <w:rPr>
                <w:rFonts w:ascii="Work Sans" w:eastAsia="Work Sans" w:hAnsi="Work Sans" w:cs="Work Sans"/>
                <w:color w:val="000000"/>
                <w:kern w:val="0"/>
                <w:sz w:val="20"/>
                <w:szCs w:val="20"/>
                <w:lang w:eastAsia="en-GB"/>
                <w14:ligatures w14:val="none"/>
              </w:rPr>
            </w:pPr>
            <w:r>
              <w:rPr>
                <w:rFonts w:ascii="Work Sans" w:eastAsia="Work Sans" w:hAnsi="Work Sans" w:cs="Work Sans"/>
                <w:color w:val="000000"/>
                <w:kern w:val="0"/>
                <w:sz w:val="20"/>
                <w:szCs w:val="20"/>
                <w:lang w:eastAsia="en-GB"/>
                <w14:ligatures w14:val="none"/>
              </w:rPr>
              <w:t>Engineering Manager</w:t>
            </w:r>
          </w:p>
        </w:tc>
        <w:tc>
          <w:tcPr>
            <w:tcW w:w="2698" w:type="dxa"/>
          </w:tcPr>
          <w:p w14:paraId="152688A2" w14:textId="43944E7E" w:rsidR="00355020" w:rsidRPr="00355020" w:rsidRDefault="00E14B3B" w:rsidP="00355020">
            <w:pPr>
              <w:spacing w:after="0" w:line="240" w:lineRule="auto"/>
              <w:rPr>
                <w:rFonts w:ascii="Work Sans" w:eastAsia="Work Sans" w:hAnsi="Work Sans" w:cs="Work Sans"/>
                <w:color w:val="000000"/>
                <w:kern w:val="0"/>
                <w:sz w:val="20"/>
                <w:szCs w:val="20"/>
                <w:lang w:eastAsia="en-GB"/>
                <w14:ligatures w14:val="none"/>
              </w:rPr>
            </w:pPr>
            <w:r>
              <w:rPr>
                <w:rFonts w:ascii="Work Sans" w:eastAsia="Work Sans" w:hAnsi="Work Sans" w:cs="Work Sans"/>
                <w:color w:val="000000"/>
                <w:kern w:val="0"/>
                <w:sz w:val="20"/>
                <w:szCs w:val="20"/>
                <w:lang w:eastAsia="en-GB"/>
                <w14:ligatures w14:val="none"/>
              </w:rPr>
              <w:t>Arthi Shridharan</w:t>
            </w:r>
          </w:p>
        </w:tc>
        <w:tc>
          <w:tcPr>
            <w:tcW w:w="3554" w:type="dxa"/>
          </w:tcPr>
          <w:p w14:paraId="0254621B" w14:textId="77777777" w:rsidR="00355020" w:rsidRPr="00355020" w:rsidRDefault="00355020" w:rsidP="00355020">
            <w:pPr>
              <w:spacing w:after="0" w:line="240" w:lineRule="auto"/>
              <w:rPr>
                <w:rFonts w:ascii="Work Sans" w:eastAsia="Work Sans" w:hAnsi="Work Sans" w:cs="Work Sans"/>
                <w:color w:val="000000"/>
                <w:kern w:val="0"/>
                <w:sz w:val="20"/>
                <w:szCs w:val="20"/>
                <w:lang w:eastAsia="en-GB"/>
                <w14:ligatures w14:val="none"/>
              </w:rPr>
            </w:pPr>
          </w:p>
        </w:tc>
      </w:tr>
    </w:tbl>
    <w:p w14:paraId="2C868729" w14:textId="77777777" w:rsidR="00355020" w:rsidRPr="00355020" w:rsidRDefault="00355020" w:rsidP="00355020"/>
    <w:sectPr w:rsidR="00355020" w:rsidRPr="00355020" w:rsidSect="004351D8">
      <w:headerReference w:type="default" r:id="rId9"/>
      <w:pgSz w:w="11906" w:h="16838"/>
      <w:pgMar w:top="1440" w:right="1440" w:bottom="1440" w:left="1440" w:header="10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7D383" w14:textId="77777777" w:rsidR="004351D8" w:rsidRDefault="004351D8" w:rsidP="00460F11">
      <w:pPr>
        <w:spacing w:after="0" w:line="240" w:lineRule="auto"/>
      </w:pPr>
      <w:r>
        <w:separator/>
      </w:r>
    </w:p>
  </w:endnote>
  <w:endnote w:type="continuationSeparator" w:id="0">
    <w:p w14:paraId="61A47D0B" w14:textId="77777777" w:rsidR="004351D8" w:rsidRDefault="004351D8" w:rsidP="00460F11">
      <w:pPr>
        <w:spacing w:after="0" w:line="240" w:lineRule="auto"/>
      </w:pPr>
      <w:r>
        <w:continuationSeparator/>
      </w:r>
    </w:p>
  </w:endnote>
  <w:endnote w:type="continuationNotice" w:id="1">
    <w:p w14:paraId="75C27401" w14:textId="77777777" w:rsidR="004351D8" w:rsidRDefault="004351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ork Sans">
    <w:altName w:val="Calibri"/>
    <w:charset w:val="00"/>
    <w:family w:val="auto"/>
    <w:pitch w:val="variable"/>
    <w:sig w:usb0="A00000FF" w:usb1="5000E07B" w:usb2="00000000" w:usb3="00000000" w:csb0="00000193"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59445" w14:textId="77777777" w:rsidR="004351D8" w:rsidRDefault="004351D8" w:rsidP="00460F11">
      <w:pPr>
        <w:spacing w:after="0" w:line="240" w:lineRule="auto"/>
      </w:pPr>
      <w:r>
        <w:separator/>
      </w:r>
    </w:p>
  </w:footnote>
  <w:footnote w:type="continuationSeparator" w:id="0">
    <w:p w14:paraId="260EC1A8" w14:textId="77777777" w:rsidR="004351D8" w:rsidRDefault="004351D8" w:rsidP="00460F11">
      <w:pPr>
        <w:spacing w:after="0" w:line="240" w:lineRule="auto"/>
      </w:pPr>
      <w:r>
        <w:continuationSeparator/>
      </w:r>
    </w:p>
  </w:footnote>
  <w:footnote w:type="continuationNotice" w:id="1">
    <w:p w14:paraId="61C415E1" w14:textId="77777777" w:rsidR="004351D8" w:rsidRDefault="004351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87B3E" w14:textId="77777777" w:rsidR="00107557" w:rsidRDefault="00107557">
    <w:pPr>
      <w:pStyle w:val="Header"/>
    </w:pPr>
    <w:r w:rsidRPr="00D049FB">
      <w:rPr>
        <w:noProof/>
      </w:rPr>
      <w:drawing>
        <wp:anchor distT="0" distB="0" distL="114300" distR="114300" simplePos="0" relativeHeight="251658240" behindDoc="0" locked="0" layoutInCell="1" allowOverlap="1" wp14:anchorId="1A1458EE" wp14:editId="19A4562A">
          <wp:simplePos x="0" y="0"/>
          <wp:positionH relativeFrom="page">
            <wp:posOffset>874782</wp:posOffset>
          </wp:positionH>
          <wp:positionV relativeFrom="page">
            <wp:posOffset>455764</wp:posOffset>
          </wp:positionV>
          <wp:extent cx="2724732" cy="475920"/>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24732" cy="475920"/>
                  </a:xfrm>
                  <a:prstGeom prst="rect">
                    <a:avLst/>
                  </a:prstGeom>
                </pic:spPr>
              </pic:pic>
            </a:graphicData>
          </a:graphic>
          <wp14:sizeRelH relativeFrom="page">
            <wp14:pctWidth>0</wp14:pctWidth>
          </wp14:sizeRelH>
          <wp14:sizeRelV relativeFrom="page">
            <wp14:pctHeight>0</wp14:pctHeight>
          </wp14:sizeRelV>
        </wp:anchor>
      </w:drawing>
    </w:r>
  </w:p>
  <w:p w14:paraId="1CCCB8FD" w14:textId="77777777" w:rsidR="00107557" w:rsidRDefault="00107557">
    <w:pPr>
      <w:pStyle w:val="Header"/>
    </w:pPr>
  </w:p>
  <w:p w14:paraId="74E195FA" w14:textId="77777777" w:rsidR="00107557" w:rsidRDefault="00107557">
    <w:pPr>
      <w:pStyle w:val="Header"/>
    </w:pPr>
  </w:p>
  <w:p w14:paraId="0D439062" w14:textId="77777777" w:rsidR="00460F11" w:rsidRDefault="00460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13C0F"/>
    <w:multiLevelType w:val="multilevel"/>
    <w:tmpl w:val="7B841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273E"/>
    <w:multiLevelType w:val="hybridMultilevel"/>
    <w:tmpl w:val="5A781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6B2AA0"/>
    <w:multiLevelType w:val="hybridMultilevel"/>
    <w:tmpl w:val="F70AC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693D81"/>
    <w:multiLevelType w:val="hybridMultilevel"/>
    <w:tmpl w:val="86304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042BCC"/>
    <w:multiLevelType w:val="hybridMultilevel"/>
    <w:tmpl w:val="E7DEE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C70CD0"/>
    <w:multiLevelType w:val="multilevel"/>
    <w:tmpl w:val="6EE6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F0836"/>
    <w:multiLevelType w:val="hybridMultilevel"/>
    <w:tmpl w:val="864C9C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99508F"/>
    <w:multiLevelType w:val="hybridMultilevel"/>
    <w:tmpl w:val="75687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263030"/>
    <w:multiLevelType w:val="hybridMultilevel"/>
    <w:tmpl w:val="E24636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4742A4"/>
    <w:multiLevelType w:val="hybridMultilevel"/>
    <w:tmpl w:val="87EE2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4A2DBD"/>
    <w:multiLevelType w:val="hybridMultilevel"/>
    <w:tmpl w:val="C3C86E0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B7A71DF"/>
    <w:multiLevelType w:val="hybridMultilevel"/>
    <w:tmpl w:val="6CC8C6B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FAC62E0"/>
    <w:multiLevelType w:val="hybridMultilevel"/>
    <w:tmpl w:val="CDA00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6E7962"/>
    <w:multiLevelType w:val="hybridMultilevel"/>
    <w:tmpl w:val="EBC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2902063">
    <w:abstractNumId w:val="13"/>
  </w:num>
  <w:num w:numId="2" w16cid:durableId="919021187">
    <w:abstractNumId w:val="1"/>
  </w:num>
  <w:num w:numId="3" w16cid:durableId="826628583">
    <w:abstractNumId w:val="7"/>
  </w:num>
  <w:num w:numId="4" w16cid:durableId="1501040028">
    <w:abstractNumId w:val="5"/>
  </w:num>
  <w:num w:numId="5" w16cid:durableId="1726416781">
    <w:abstractNumId w:val="8"/>
  </w:num>
  <w:num w:numId="6" w16cid:durableId="1602371296">
    <w:abstractNumId w:val="6"/>
  </w:num>
  <w:num w:numId="7" w16cid:durableId="2037349016">
    <w:abstractNumId w:val="10"/>
  </w:num>
  <w:num w:numId="8" w16cid:durableId="848983096">
    <w:abstractNumId w:val="9"/>
  </w:num>
  <w:num w:numId="9" w16cid:durableId="938637634">
    <w:abstractNumId w:val="3"/>
  </w:num>
  <w:num w:numId="10" w16cid:durableId="593367319">
    <w:abstractNumId w:val="0"/>
  </w:num>
  <w:num w:numId="11" w16cid:durableId="1391029713">
    <w:abstractNumId w:val="4"/>
  </w:num>
  <w:num w:numId="12" w16cid:durableId="1216968579">
    <w:abstractNumId w:val="2"/>
  </w:num>
  <w:num w:numId="13" w16cid:durableId="1274556970">
    <w:abstractNumId w:val="11"/>
  </w:num>
  <w:num w:numId="14" w16cid:durableId="10370036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A0"/>
    <w:rsid w:val="00023624"/>
    <w:rsid w:val="00032A51"/>
    <w:rsid w:val="00050427"/>
    <w:rsid w:val="00052E29"/>
    <w:rsid w:val="00097BF9"/>
    <w:rsid w:val="000B3568"/>
    <w:rsid w:val="000D5E1D"/>
    <w:rsid w:val="000F2A02"/>
    <w:rsid w:val="00101A75"/>
    <w:rsid w:val="0010584F"/>
    <w:rsid w:val="001071CF"/>
    <w:rsid w:val="00107557"/>
    <w:rsid w:val="00110BBC"/>
    <w:rsid w:val="00131896"/>
    <w:rsid w:val="001344CC"/>
    <w:rsid w:val="00135268"/>
    <w:rsid w:val="001839B1"/>
    <w:rsid w:val="00184E71"/>
    <w:rsid w:val="00193A26"/>
    <w:rsid w:val="001A299B"/>
    <w:rsid w:val="001B2CC3"/>
    <w:rsid w:val="001D36F0"/>
    <w:rsid w:val="001F5183"/>
    <w:rsid w:val="001F6E95"/>
    <w:rsid w:val="0023469D"/>
    <w:rsid w:val="00244C06"/>
    <w:rsid w:val="00264A8F"/>
    <w:rsid w:val="002729EE"/>
    <w:rsid w:val="00273527"/>
    <w:rsid w:val="002A6C32"/>
    <w:rsid w:val="002B182F"/>
    <w:rsid w:val="002B226E"/>
    <w:rsid w:val="002C2EBF"/>
    <w:rsid w:val="002E684C"/>
    <w:rsid w:val="00316398"/>
    <w:rsid w:val="0034101D"/>
    <w:rsid w:val="00342C7D"/>
    <w:rsid w:val="00344B6C"/>
    <w:rsid w:val="0034626F"/>
    <w:rsid w:val="00355020"/>
    <w:rsid w:val="003710B2"/>
    <w:rsid w:val="0037778A"/>
    <w:rsid w:val="0038682D"/>
    <w:rsid w:val="003A27D6"/>
    <w:rsid w:val="003B69A1"/>
    <w:rsid w:val="003C26EC"/>
    <w:rsid w:val="003E5869"/>
    <w:rsid w:val="00424224"/>
    <w:rsid w:val="004351D8"/>
    <w:rsid w:val="00460F11"/>
    <w:rsid w:val="0047392C"/>
    <w:rsid w:val="0047551A"/>
    <w:rsid w:val="004762B6"/>
    <w:rsid w:val="00481112"/>
    <w:rsid w:val="00483A39"/>
    <w:rsid w:val="0049148F"/>
    <w:rsid w:val="004A681B"/>
    <w:rsid w:val="004B7942"/>
    <w:rsid w:val="004C11D6"/>
    <w:rsid w:val="004C3AE1"/>
    <w:rsid w:val="004D0C0B"/>
    <w:rsid w:val="0051589B"/>
    <w:rsid w:val="005335D5"/>
    <w:rsid w:val="00552D6D"/>
    <w:rsid w:val="005A31C2"/>
    <w:rsid w:val="005B0B5F"/>
    <w:rsid w:val="005B7BF8"/>
    <w:rsid w:val="005C4261"/>
    <w:rsid w:val="005C5224"/>
    <w:rsid w:val="005D2278"/>
    <w:rsid w:val="005D3B22"/>
    <w:rsid w:val="005D439B"/>
    <w:rsid w:val="006148C3"/>
    <w:rsid w:val="00630AC3"/>
    <w:rsid w:val="00632B82"/>
    <w:rsid w:val="006649B0"/>
    <w:rsid w:val="00684FA7"/>
    <w:rsid w:val="006A5CC9"/>
    <w:rsid w:val="006B2199"/>
    <w:rsid w:val="006C1EDF"/>
    <w:rsid w:val="006E38D6"/>
    <w:rsid w:val="00716AE3"/>
    <w:rsid w:val="00737908"/>
    <w:rsid w:val="00752207"/>
    <w:rsid w:val="0076299F"/>
    <w:rsid w:val="007752CF"/>
    <w:rsid w:val="007827EF"/>
    <w:rsid w:val="0079599B"/>
    <w:rsid w:val="007A104D"/>
    <w:rsid w:val="007D2324"/>
    <w:rsid w:val="007D6029"/>
    <w:rsid w:val="007E2095"/>
    <w:rsid w:val="007E4288"/>
    <w:rsid w:val="007E4D85"/>
    <w:rsid w:val="007E78E9"/>
    <w:rsid w:val="00801978"/>
    <w:rsid w:val="00821EC6"/>
    <w:rsid w:val="0082308A"/>
    <w:rsid w:val="0082391D"/>
    <w:rsid w:val="0082685F"/>
    <w:rsid w:val="008567FB"/>
    <w:rsid w:val="008903EF"/>
    <w:rsid w:val="008B69D4"/>
    <w:rsid w:val="008E0F62"/>
    <w:rsid w:val="008F63CD"/>
    <w:rsid w:val="00902E28"/>
    <w:rsid w:val="00950B26"/>
    <w:rsid w:val="00957994"/>
    <w:rsid w:val="0096326F"/>
    <w:rsid w:val="0098338C"/>
    <w:rsid w:val="00994D3E"/>
    <w:rsid w:val="009972A0"/>
    <w:rsid w:val="009B0516"/>
    <w:rsid w:val="009C0F8B"/>
    <w:rsid w:val="009D5FCF"/>
    <w:rsid w:val="00A21A42"/>
    <w:rsid w:val="00A256B8"/>
    <w:rsid w:val="00A37074"/>
    <w:rsid w:val="00A44461"/>
    <w:rsid w:val="00A544FD"/>
    <w:rsid w:val="00A630E6"/>
    <w:rsid w:val="00A643B9"/>
    <w:rsid w:val="00A67FD4"/>
    <w:rsid w:val="00A7740F"/>
    <w:rsid w:val="00A815AF"/>
    <w:rsid w:val="00A862E9"/>
    <w:rsid w:val="00A96020"/>
    <w:rsid w:val="00AB7705"/>
    <w:rsid w:val="00B01C38"/>
    <w:rsid w:val="00B1134A"/>
    <w:rsid w:val="00B41485"/>
    <w:rsid w:val="00B47699"/>
    <w:rsid w:val="00B57022"/>
    <w:rsid w:val="00B60F9D"/>
    <w:rsid w:val="00B63F5A"/>
    <w:rsid w:val="00B836CB"/>
    <w:rsid w:val="00BA2656"/>
    <w:rsid w:val="00BB2FD6"/>
    <w:rsid w:val="00BB7301"/>
    <w:rsid w:val="00BD56E1"/>
    <w:rsid w:val="00BE59D5"/>
    <w:rsid w:val="00BF3625"/>
    <w:rsid w:val="00BF5BCA"/>
    <w:rsid w:val="00C043F8"/>
    <w:rsid w:val="00C10F2F"/>
    <w:rsid w:val="00C16E68"/>
    <w:rsid w:val="00C25CF7"/>
    <w:rsid w:val="00C30469"/>
    <w:rsid w:val="00C701B2"/>
    <w:rsid w:val="00C71BA2"/>
    <w:rsid w:val="00C84270"/>
    <w:rsid w:val="00C85E50"/>
    <w:rsid w:val="00C92A02"/>
    <w:rsid w:val="00CB10A5"/>
    <w:rsid w:val="00CC4A76"/>
    <w:rsid w:val="00CD036A"/>
    <w:rsid w:val="00CD0B78"/>
    <w:rsid w:val="00D01526"/>
    <w:rsid w:val="00D538D3"/>
    <w:rsid w:val="00D67C2B"/>
    <w:rsid w:val="00D7465E"/>
    <w:rsid w:val="00DD599B"/>
    <w:rsid w:val="00DD6ED4"/>
    <w:rsid w:val="00DE0635"/>
    <w:rsid w:val="00DE3E85"/>
    <w:rsid w:val="00E009F5"/>
    <w:rsid w:val="00E14B3B"/>
    <w:rsid w:val="00E2762D"/>
    <w:rsid w:val="00E56627"/>
    <w:rsid w:val="00E61548"/>
    <w:rsid w:val="00E62D39"/>
    <w:rsid w:val="00E63361"/>
    <w:rsid w:val="00E6659E"/>
    <w:rsid w:val="00E824A2"/>
    <w:rsid w:val="00E87DCA"/>
    <w:rsid w:val="00EA5C0D"/>
    <w:rsid w:val="00EA675B"/>
    <w:rsid w:val="00EB0DFB"/>
    <w:rsid w:val="00EB183E"/>
    <w:rsid w:val="00ED1B1B"/>
    <w:rsid w:val="00ED66FD"/>
    <w:rsid w:val="00EF2B0F"/>
    <w:rsid w:val="00F16703"/>
    <w:rsid w:val="00F17651"/>
    <w:rsid w:val="00F32887"/>
    <w:rsid w:val="00F53EDB"/>
    <w:rsid w:val="00F672FF"/>
    <w:rsid w:val="00F71E91"/>
    <w:rsid w:val="00FE3605"/>
    <w:rsid w:val="00FE3E4E"/>
    <w:rsid w:val="00FF6C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AD3A"/>
  <w15:chartTrackingRefBased/>
  <w15:docId w15:val="{190B0642-30EC-45D6-8D19-BA3803CF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03"/>
  </w:style>
  <w:style w:type="paragraph" w:styleId="Heading1">
    <w:name w:val="heading 1"/>
    <w:basedOn w:val="Normal"/>
    <w:next w:val="Normal"/>
    <w:link w:val="Heading1Char"/>
    <w:uiPriority w:val="9"/>
    <w:qFormat/>
    <w:rsid w:val="0089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3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3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3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3E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03EF"/>
    <w:pPr>
      <w:ind w:left="720"/>
      <w:contextualSpacing/>
    </w:pPr>
  </w:style>
  <w:style w:type="paragraph" w:styleId="NoSpacing">
    <w:name w:val="No Spacing"/>
    <w:uiPriority w:val="1"/>
    <w:qFormat/>
    <w:rsid w:val="00DD599B"/>
    <w:pPr>
      <w:spacing w:after="0" w:line="240" w:lineRule="auto"/>
    </w:pPr>
  </w:style>
  <w:style w:type="table" w:styleId="TableGrid">
    <w:name w:val="Table Grid"/>
    <w:basedOn w:val="TableNormal"/>
    <w:uiPriority w:val="39"/>
    <w:rsid w:val="00355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F11"/>
  </w:style>
  <w:style w:type="paragraph" w:styleId="Footer">
    <w:name w:val="footer"/>
    <w:basedOn w:val="Normal"/>
    <w:link w:val="FooterChar"/>
    <w:uiPriority w:val="99"/>
    <w:unhideWhenUsed/>
    <w:rsid w:val="00460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F11"/>
  </w:style>
  <w:style w:type="paragraph" w:customStyle="1" w:styleId="whitespace-pre-wrap">
    <w:name w:val="whitespace-pre-wrap"/>
    <w:basedOn w:val="Normal"/>
    <w:rsid w:val="001A29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whitespace-normal">
    <w:name w:val="whitespace-normal"/>
    <w:basedOn w:val="Normal"/>
    <w:rsid w:val="001A29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264A8F"/>
    <w:rPr>
      <w:rFonts w:ascii="Times New Roman" w:hAnsi="Times New Roman" w:cs="Times New Roman"/>
      <w:sz w:val="24"/>
      <w:szCs w:val="24"/>
    </w:rPr>
  </w:style>
  <w:style w:type="character" w:styleId="Hyperlink">
    <w:name w:val="Hyperlink"/>
    <w:basedOn w:val="DefaultParagraphFont"/>
    <w:uiPriority w:val="99"/>
    <w:unhideWhenUsed/>
    <w:rsid w:val="00F32887"/>
    <w:rPr>
      <w:color w:val="0563C1" w:themeColor="hyperlink"/>
      <w:u w:val="single"/>
    </w:rPr>
  </w:style>
  <w:style w:type="character" w:styleId="UnresolvedMention">
    <w:name w:val="Unresolved Mention"/>
    <w:basedOn w:val="DefaultParagraphFont"/>
    <w:uiPriority w:val="99"/>
    <w:semiHidden/>
    <w:unhideWhenUsed/>
    <w:rsid w:val="00F32887"/>
    <w:rPr>
      <w:color w:val="605E5C"/>
      <w:shd w:val="clear" w:color="auto" w:fill="E1DFDD"/>
    </w:rPr>
  </w:style>
  <w:style w:type="character" w:styleId="FollowedHyperlink">
    <w:name w:val="FollowedHyperlink"/>
    <w:basedOn w:val="DefaultParagraphFont"/>
    <w:uiPriority w:val="99"/>
    <w:semiHidden/>
    <w:unhideWhenUsed/>
    <w:rsid w:val="00FF6C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06356">
      <w:bodyDiv w:val="1"/>
      <w:marLeft w:val="0"/>
      <w:marRight w:val="0"/>
      <w:marTop w:val="0"/>
      <w:marBottom w:val="0"/>
      <w:divBdr>
        <w:top w:val="none" w:sz="0" w:space="0" w:color="auto"/>
        <w:left w:val="none" w:sz="0" w:space="0" w:color="auto"/>
        <w:bottom w:val="none" w:sz="0" w:space="0" w:color="auto"/>
        <w:right w:val="none" w:sz="0" w:space="0" w:color="auto"/>
      </w:divBdr>
    </w:div>
    <w:div w:id="988947192">
      <w:bodyDiv w:val="1"/>
      <w:marLeft w:val="0"/>
      <w:marRight w:val="0"/>
      <w:marTop w:val="0"/>
      <w:marBottom w:val="0"/>
      <w:divBdr>
        <w:top w:val="none" w:sz="0" w:space="0" w:color="auto"/>
        <w:left w:val="none" w:sz="0" w:space="0" w:color="auto"/>
        <w:bottom w:val="none" w:sz="0" w:space="0" w:color="auto"/>
        <w:right w:val="none" w:sz="0" w:space="0" w:color="auto"/>
      </w:divBdr>
    </w:div>
    <w:div w:id="1187450532">
      <w:bodyDiv w:val="1"/>
      <w:marLeft w:val="0"/>
      <w:marRight w:val="0"/>
      <w:marTop w:val="0"/>
      <w:marBottom w:val="0"/>
      <w:divBdr>
        <w:top w:val="none" w:sz="0" w:space="0" w:color="auto"/>
        <w:left w:val="none" w:sz="0" w:space="0" w:color="auto"/>
        <w:bottom w:val="none" w:sz="0" w:space="0" w:color="auto"/>
        <w:right w:val="none" w:sz="0" w:space="0" w:color="auto"/>
      </w:divBdr>
    </w:div>
    <w:div w:id="1387804333">
      <w:bodyDiv w:val="1"/>
      <w:marLeft w:val="0"/>
      <w:marRight w:val="0"/>
      <w:marTop w:val="0"/>
      <w:marBottom w:val="0"/>
      <w:divBdr>
        <w:top w:val="none" w:sz="0" w:space="0" w:color="auto"/>
        <w:left w:val="none" w:sz="0" w:space="0" w:color="auto"/>
        <w:bottom w:val="none" w:sz="0" w:space="0" w:color="auto"/>
        <w:right w:val="none" w:sz="0" w:space="0" w:color="auto"/>
      </w:divBdr>
    </w:div>
    <w:div w:id="1658412560">
      <w:bodyDiv w:val="1"/>
      <w:marLeft w:val="0"/>
      <w:marRight w:val="0"/>
      <w:marTop w:val="0"/>
      <w:marBottom w:val="0"/>
      <w:divBdr>
        <w:top w:val="none" w:sz="0" w:space="0" w:color="auto"/>
        <w:left w:val="none" w:sz="0" w:space="0" w:color="auto"/>
        <w:bottom w:val="none" w:sz="0" w:space="0" w:color="auto"/>
        <w:right w:val="none" w:sz="0" w:space="0" w:color="auto"/>
      </w:divBdr>
    </w:div>
    <w:div w:id="1814831438">
      <w:bodyDiv w:val="1"/>
      <w:marLeft w:val="0"/>
      <w:marRight w:val="0"/>
      <w:marTop w:val="0"/>
      <w:marBottom w:val="0"/>
      <w:divBdr>
        <w:top w:val="none" w:sz="0" w:space="0" w:color="auto"/>
        <w:left w:val="none" w:sz="0" w:space="0" w:color="auto"/>
        <w:bottom w:val="none" w:sz="0" w:space="0" w:color="auto"/>
        <w:right w:val="none" w:sz="0" w:space="0" w:color="auto"/>
      </w:divBdr>
    </w:div>
    <w:div w:id="191341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wiah.atlassian.net/wiki/spaces/MDB/pages/1441923085/Accounting+Externalisation+Product+Page+-+Republic+of+Ireland"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27014\OneDrive%20-%20AmerisourceBergen(ABC)\Documents\Custom%20Office%20Templates\PHD_Product%20Requirement%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07A66E5394F43846CC4F04544C563" ma:contentTypeVersion="11" ma:contentTypeDescription="Create a new document." ma:contentTypeScope="" ma:versionID="576ffb4be826537b5122f5d28e648402">
  <xsd:schema xmlns:xsd="http://www.w3.org/2001/XMLSchema" xmlns:xs="http://www.w3.org/2001/XMLSchema" xmlns:p="http://schemas.microsoft.com/office/2006/metadata/properties" xmlns:ns2="4c4ae35d-2d51-47c1-bf0d-0e0d7322fc00" xmlns:ns3="ee2b2053-1eab-44f4-a948-971d82c3e2d7" targetNamespace="http://schemas.microsoft.com/office/2006/metadata/properties" ma:root="true" ma:fieldsID="a781dcbcba1fa196e6f9d73cc8227609" ns2:_="" ns3:_="">
    <xsd:import namespace="4c4ae35d-2d51-47c1-bf0d-0e0d7322fc00"/>
    <xsd:import namespace="ee2b2053-1eab-44f4-a948-971d82c3e2d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ae35d-2d51-47c1-bf0d-0e0d7322fc0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4c8288c-6099-4289-a83d-50ac0de6e45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2b2053-1eab-44f4-a948-971d82c3e2d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6cc8732-9618-4976-b690-5a9e288018ff}" ma:internalName="TaxCatchAll" ma:showField="CatchAllData" ma:web="ee2b2053-1eab-44f4-a948-971d82c3e2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4ae35d-2d51-47c1-bf0d-0e0d7322fc00">
      <Terms xmlns="http://schemas.microsoft.com/office/infopath/2007/PartnerControls"/>
    </lcf76f155ced4ddcb4097134ff3c332f>
    <TaxCatchAll xmlns="ee2b2053-1eab-44f4-a948-971d82c3e2d7" xsi:nil="true"/>
  </documentManagement>
</p:properties>
</file>

<file path=customXml/itemProps1.xml><?xml version="1.0" encoding="utf-8"?>
<ds:datastoreItem xmlns:ds="http://schemas.openxmlformats.org/officeDocument/2006/customXml" ds:itemID="{61228180-5526-4CD2-A801-79CE56FEFE5C}"/>
</file>

<file path=customXml/itemProps2.xml><?xml version="1.0" encoding="utf-8"?>
<ds:datastoreItem xmlns:ds="http://schemas.openxmlformats.org/officeDocument/2006/customXml" ds:itemID="{37D965CB-F249-4376-AB48-5E6C449DB225}"/>
</file>

<file path=customXml/itemProps3.xml><?xml version="1.0" encoding="utf-8"?>
<ds:datastoreItem xmlns:ds="http://schemas.openxmlformats.org/officeDocument/2006/customXml" ds:itemID="{6206CA10-35A7-4340-B147-E8BC1C3CACC9}"/>
</file>

<file path=docProps/app.xml><?xml version="1.0" encoding="utf-8"?>
<Properties xmlns="http://schemas.openxmlformats.org/officeDocument/2006/extended-properties" xmlns:vt="http://schemas.openxmlformats.org/officeDocument/2006/docPropsVTypes">
  <Template>PHD_Product Requirement Document</Template>
  <TotalTime>1</TotalTime>
  <Pages>5</Pages>
  <Words>847</Words>
  <Characters>4829</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Aderinto, Micheal</dc:creator>
  <cp:keywords/>
  <dc:description/>
  <cp:lastModifiedBy>Gower, Heather</cp:lastModifiedBy>
  <cp:revision>2</cp:revision>
  <dcterms:created xsi:type="dcterms:W3CDTF">2025-01-02T13:50:00Z</dcterms:created>
  <dcterms:modified xsi:type="dcterms:W3CDTF">2025-01-02T13:50:00Z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0x01010030607A66E5394F43846CC4F04544C563</vt:lpwstr>
  </property>
</Properties>
</file>