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40"/>
        <w:jc w:val="center"/>
      </w:pPr>
      <w:r>
        <w:rPr>
          <w:rFonts w:ascii="Calibri" w:cs="Calibri" w:eastAsia="Calibri" w:hAnsi="Calibri"/>
          <w:b/>
          <w:bCs/>
          <w:color w:val="1F3864"/>
          <w:sz w:val="26"/>
          <w:szCs w:val="26"/>
        </w:rPr>
        <w:t xml:space="preserve">Imperial College London</w:t>
      </w:r>
    </w:p>
    <w:p>
      <w:pPr>
        <w:spacing w:after="20"/>
        <w:jc w:val="center"/>
      </w:pPr>
      <w:r>
        <w:rPr>
          <w:rFonts w:ascii="Calibri" w:cs="Calibri" w:eastAsia="Calibri" w:hAnsi="Calibri"/>
          <w:b w:val="false"/>
          <w:bCs w:val="false"/>
          <w:color w:val="111111"/>
          <w:sz w:val="21"/>
          <w:szCs w:val="21"/>
        </w:rPr>
        <w:t xml:space="preserve">Department of Earth Science and Engineering</w:t>
      </w:r>
    </w:p>
    <w:p>
      <w:pPr>
        <w:spacing w:after="320"/>
        <w:jc w:val="center"/>
      </w:pPr>
      <w:r>
        <w:rPr>
          <w:rFonts w:ascii="Calibri" w:cs="Calibri" w:eastAsia="Calibri" w:hAnsi="Calibri"/>
          <w:b w:val="false"/>
          <w:bCs w:val="false"/>
          <w:color w:val="595959"/>
          <w:sz w:val="20"/>
          <w:szCs w:val="20"/>
        </w:rPr>
        <w:t xml:space="preserve">MSc in Applied Computational Science and Engineering</w:t>
      </w:r>
    </w:p>
    <w:p>
      <w:pPr>
        <w:pBdr>
          <w:top w:val="single" w:color="1F3864" w:sz="6" w:space="6"/>
        </w:pBdr>
        <w:spacing w:after="40" w:before="200"/>
        <w:jc w:val="center"/>
      </w:pPr>
    </w:p>
    <w:p>
      <w:pPr>
        <w:spacing w:after="10"/>
        <w:jc w:val="center"/>
      </w:pPr>
      <w:r>
        <w:rPr>
          <w:rFonts w:ascii="Calibri" w:cs="Calibri" w:eastAsia="Calibri" w:hAnsi="Calibri"/>
          <w:b/>
          <w:bCs/>
          <w:color w:val="1F3864"/>
          <w:sz w:val="30"/>
          <w:szCs w:val="30"/>
        </w:rPr>
        <w:t xml:space="preserve">Microscaling Block Floating-Point Storage for</w:t>
      </w:r>
    </w:p>
    <w:p>
      <w:pPr>
        <w:spacing w:after="40"/>
        <w:jc w:val="center"/>
      </w:pPr>
      <w:r>
        <w:rPr>
          <w:rFonts w:ascii="Calibri" w:cs="Calibri" w:eastAsia="Calibri" w:hAnsi="Calibri"/>
          <w:b/>
          <w:bCs/>
          <w:color w:val="1F3864"/>
          <w:sz w:val="30"/>
          <w:szCs w:val="30"/>
        </w:rPr>
        <w:t xml:space="preserve">Finite-Difference Seismic Wave Propagation</w:t>
      </w:r>
    </w:p>
    <w:p>
      <w:pPr>
        <w:pBdr>
          <w:bottom w:val="single" w:color="1F3864" w:sz="6" w:space="6"/>
        </w:pBdr>
        <w:spacing w:after="300" w:before="20"/>
        <w:jc w:val="center"/>
      </w:pPr>
    </w:p>
    <w:p>
      <w:pPr>
        <w:spacing w:after="300"/>
        <w:jc w:val="center"/>
      </w:pPr>
      <w:r>
        <w:rPr>
          <w:rFonts w:ascii="Calibri" w:cs="Calibri" w:eastAsia="Calibri" w:hAnsi="Calibri"/>
          <w:b/>
          <w:bCs/>
          <w:color w:val="111111"/>
          <w:sz w:val="23"/>
          <w:szCs w:val="23"/>
        </w:rPr>
        <w:t xml:space="preserve">Shijun Huang</w:t>
      </w:r>
    </w:p>
    <w:p>
      <w:pPr>
        <w:spacing w:after="10"/>
        <w:jc w:val="center"/>
      </w:pPr>
      <w:r>
        <w:rPr>
          <w:rFonts w:ascii="Calibri" w:cs="Calibri" w:eastAsia="Calibri" w:hAnsi="Calibri"/>
          <w:b w:val="false"/>
          <w:bCs w:val="false"/>
          <w:color w:val="595959"/>
          <w:sz w:val="19"/>
          <w:szCs w:val="19"/>
        </w:rPr>
        <w:t xml:space="preserve">Individual Research Project</w:t>
      </w:r>
    </w:p>
    <w:p>
      <w:pPr>
        <w:spacing w:after="320"/>
        <w:jc w:val="center"/>
      </w:pPr>
      <w:r>
        <w:rPr>
          <w:rFonts w:ascii="Calibri" w:cs="Calibri" w:eastAsia="Calibri" w:hAnsi="Calibri"/>
          <w:b w:val="false"/>
          <w:bCs w:val="false"/>
          <w:color w:val="595959"/>
          <w:sz w:val="19"/>
          <w:szCs w:val="19"/>
        </w:rPr>
        <w:t xml:space="preserve">in collaboration with SLB</w:t>
      </w:r>
    </w:p>
    <w:p>
      <w:pPr>
        <w:spacing w:after="20"/>
        <w:jc w:val="center"/>
      </w:pPr>
      <w:r>
        <w:rPr>
          <w:rFonts w:ascii="Calibri" w:cs="Calibri" w:eastAsia="Calibri" w:hAnsi="Calibri"/>
          <w:b w:val="false"/>
          <w:bCs w:val="false"/>
          <w:color w:val="111111"/>
          <w:sz w:val="19"/>
          <w:szCs w:val="19"/>
        </w:rPr>
        <w:t xml:space="preserve">Supervisor: Dr James Hobro (SLB)</w:t>
      </w:r>
    </w:p>
    <w:p>
      <w:pPr>
        <w:spacing w:after="320"/>
        <w:jc w:val="center"/>
      </w:pPr>
      <w:r>
        <w:rPr>
          <w:rFonts w:ascii="Calibri" w:cs="Calibri" w:eastAsia="Calibri" w:hAnsi="Calibri"/>
          <w:b w:val="false"/>
          <w:bCs w:val="false"/>
          <w:color w:val="595959"/>
          <w:sz w:val="18"/>
          <w:szCs w:val="18"/>
        </w:rPr>
        <w:t xml:space="preserve">Code repository: [to be added]</w:t>
      </w:r>
    </w:p>
    <w:p>
      <w:pPr>
        <w:spacing w:after="10"/>
        <w:jc w:val="center"/>
      </w:pPr>
      <w:r>
        <w:rPr>
          <w:rFonts w:ascii="Calibri" w:cs="Calibri" w:eastAsia="Calibri" w:hAnsi="Calibri"/>
          <w:b w:val="false"/>
          <w:bCs w:val="false"/>
          <w:color w:val="111111"/>
          <w:sz w:val="19"/>
          <w:szCs w:val="19"/>
        </w:rPr>
        <w:t xml:space="preserve">August 2026</w:t>
      </w:r>
    </w:p>
    <w:p>
      <w:r>
        <w:br w:type="page"/>
      </w:r>
    </w:p>
    <w:p>
      <w:pPr>
        <w:pStyle w:val="Heading1"/>
        <w:spacing w:after="120" w:before="300"/>
      </w:pPr>
      <w:r>
        <w:rPr>
          <w:rFonts w:ascii="Calibri" w:cs="Calibri" w:eastAsia="Calibri" w:hAnsi="Calibri"/>
          <w:b/>
          <w:bCs/>
          <w:color w:val="1F3864"/>
          <w:sz w:val="26"/>
          <w:szCs w:val="26"/>
        </w:rPr>
        <w:t xml:space="preserve">Abstract</w:t>
      </w:r>
    </w:p>
    <w:p>
      <w:pPr>
        <w:spacing w:after="60" w:before="60" w:line="300" w:lineRule="auto"/>
        <w:jc w:val="left"/>
      </w:pPr>
      <w:r>
        <w:rPr>
          <w:rFonts w:ascii="Calibri" w:cs="Calibri" w:eastAsia="Calibri" w:hAnsi="Calibri"/>
          <w:color w:val="111111"/>
          <w:sz w:val="21"/>
          <w:szCs w:val="21"/>
        </w:rPr>
        <w:t xml:space="preserve">Finite-difference seismic solvers are limited by memory bandwidth rather than arithmetic, so the number of bits used to store the wavefield sets how fast they run. This project asks whether microscaling, a block floating-point storage format from machine learning in which a group of values shares one exponent, carries the same benefit to seismic modelling. It was implemented as a storage layer around a full-precision finite-difference solver on Marmousi, with the wavefield packed to microscaling and unpacked each step while the arithmetic stayed in single precision. Accuracy was the signal-to-noise ratio of the shot record against a full-precision reference, time-scaled to weight the arrivals evenly, and efficiency was estimated from memory traffic. At about fourteen bits per value microscaling reached a higher signal-to-noise ratio than half precision at sixteen bits, on both acoustic and elastic kernels, and held when only the reflections were scored. Further tests showed the accuracy limit comes from error accumulation over time rather than from the format, and that a square block beats the memory-ordered strip at equal cost. Microscaling storage is thus a practical route to lower memory traffic in wave modelling, with larger gains once the model arrays are compressed too.</w:t>
      </w:r>
    </w:p>
    <w:p>
      <w:pPr>
        <w:pStyle w:val="Heading1"/>
        <w:spacing w:after="120" w:before="300"/>
      </w:pPr>
      <w:r>
        <w:rPr>
          <w:rFonts w:ascii="Calibri" w:cs="Calibri" w:eastAsia="Calibri" w:hAnsi="Calibri"/>
          <w:b/>
          <w:bCs/>
          <w:color w:val="1F3864"/>
          <w:sz w:val="26"/>
          <w:szCs w:val="26"/>
        </w:rPr>
        <w:t xml:space="preserve">1  Introduction</w:t>
      </w:r>
    </w:p>
    <w:p>
      <w:pPr>
        <w:spacing w:after="60" w:before="60" w:line="300" w:lineRule="auto"/>
        <w:jc w:val="left"/>
      </w:pPr>
      <w:r>
        <w:rPr>
          <w:rFonts w:ascii="Calibri" w:cs="Calibri" w:eastAsia="Calibri" w:hAnsi="Calibri"/>
          <w:color w:val="111111"/>
          <w:sz w:val="21"/>
          <w:szCs w:val="21"/>
        </w:rPr>
        <w:t xml:space="preserve">Seismic imaging and full-waveform inversion rest on repeatedly solving the wave equation across large earth models (Virieux and Operto,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pPr>
        <w:spacing w:after="60" w:before="60" w:line="300" w:lineRule="auto"/>
        <w:jc w:val="left"/>
      </w:pPr>
      <w:r>
        <w:rPr>
          <w:rFonts w:ascii="Calibri" w:cs="Calibri" w:eastAsia="Calibri" w:hAnsi="Calibri"/>
          <w:color w:val="111111"/>
          <w:sz w:val="21"/>
          <w:szCs w:val="21"/>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as a way to cut the cost of the solve, most visibly through half precision, which halves storage against single precision and has been demonstrated on the elastic wave equation.</w:t>
      </w:r>
    </w:p>
    <w:p>
      <w:pPr>
        <w:spacing w:after="60" w:before="60" w:line="300" w:lineRule="auto"/>
        <w:jc w:val="left"/>
      </w:pPr>
      <w:r>
        <w:rPr>
          <w:rFonts w:ascii="Calibri" w:cs="Calibri" w:eastAsia="Calibri" w:hAnsi="Calibri"/>
          <w:color w:val="111111"/>
          <w:sz w:val="21"/>
          <w:szCs w:val="21"/>
        </w:rPr>
        <w:t xml:space="preserve">Machine learning has pursued the same lever further. Block floating-point formats, and in particular microscaling, let a block of values share a single exponent, spending bits on mantissa 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pPr>
        <w:spacing w:after="60" w:before="60" w:line="300" w:lineRule="auto"/>
        <w:jc w:val="left"/>
      </w:pPr>
      <w:r>
        <w:rPr>
          <w:rFonts w:ascii="Calibri" w:cs="Calibri" w:eastAsia="Calibri" w:hAnsi="Calibri"/>
          <w:color w:val="111111"/>
          <w:sz w:val="21"/>
          <w:szCs w:val="21"/>
        </w:rPr>
        <w:t xml:space="preserve">This report implements microscaling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optimised kernel is written.</w:t>
      </w:r>
    </w:p>
    <w:p>
      <w:pPr>
        <w:pStyle w:val="Heading1"/>
        <w:spacing w:after="120" w:before="300"/>
      </w:pPr>
      <w:r>
        <w:rPr>
          <w:rFonts w:ascii="Calibri" w:cs="Calibri" w:eastAsia="Calibri" w:hAnsi="Calibri"/>
          <w:b/>
          <w:bCs/>
          <w:color w:val="1F3864"/>
          <w:sz w:val="26"/>
          <w:szCs w:val="26"/>
        </w:rPr>
        <w:t xml:space="preserve">2  Background and contribution</w:t>
      </w:r>
    </w:p>
    <w:p>
      <w:pPr>
        <w:spacing w:after="60" w:before="60" w:line="300" w:lineRule="auto"/>
        <w:jc w:val="left"/>
      </w:pPr>
      <w:r>
        <w:rPr>
          <w:rFonts w:ascii="Calibri" w:cs="Calibri" w:eastAsia="Calibri" w:hAnsi="Calibri"/>
          <w:color w:val="111111"/>
          <w:sz w:val="21"/>
          <w:szCs w:val="21"/>
        </w:rPr>
        <w:t xml:space="preserve">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pPr>
        <w:spacing w:after="60" w:before="60" w:line="300" w:lineRule="auto"/>
        <w:jc w:val="left"/>
      </w:pPr>
      <w:r>
        <w:rPr>
          <w:rFonts w:ascii="Calibri" w:cs="Calibri" w:eastAsia="Calibri" w:hAnsi="Calibri"/>
          <w:color w:val="111111"/>
          <w:sz w:val="21"/>
          <w:szCs w:val="21"/>
        </w:rPr>
        <w:t xml:space="preserve">The format studied here differs in what it narrows and in how the scale is chosen. Microscaling is a storage precision: the arithmetic stays in single precision, and only the wavefield held in memory between steps is compressed, so the saving is in memory traffic rather than in compute.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pPr>
        <w:spacing w:after="60" w:before="60" w:line="300" w:lineRule="auto"/>
        <w:jc w:val="left"/>
      </w:pPr>
      <w:r>
        <w:rPr>
          <w:rFonts w:ascii="Calibri" w:cs="Calibri" w:eastAsia="Calibri" w:hAnsi="Calibri"/>
          <w:color w:val="111111"/>
          <w:sz w:val="21"/>
          <w:szCs w:val="21"/>
        </w:rPr>
        <w:t xml:space="preserve">General-purpose floating-point compressors such as ZFP (Lindstrom, 2014) also reduce the footprint of scientific arrays, and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microscaling block floating-point has not previously been applied to finite-difference wave propagation, and the block-shape effect reported in Section 5.6 has not been described in this setting.</w:t>
      </w:r>
    </w:p>
    <w:p>
      <w:pPr>
        <w:pStyle w:val="Heading1"/>
        <w:spacing w:after="120" w:before="300"/>
      </w:pPr>
      <w:r>
        <w:rPr>
          <w:rFonts w:ascii="Calibri" w:cs="Calibri" w:eastAsia="Calibri" w:hAnsi="Calibri"/>
          <w:b/>
          <w:bCs/>
          <w:color w:val="1F3864"/>
          <w:sz w:val="26"/>
          <w:szCs w:val="26"/>
        </w:rPr>
        <w:t xml:space="preserve">3  Objectives</w:t>
      </w:r>
    </w:p>
    <w:p>
      <w:pPr>
        <w:spacing w:after="60" w:before="60" w:line="300" w:lineRule="auto"/>
        <w:jc w:val="left"/>
      </w:pPr>
      <w:r>
        <w:rPr>
          <w:rFonts w:ascii="Calibri" w:cs="Calibri" w:eastAsia="Calibri" w:hAnsi="Calibri"/>
          <w:color w:val="111111"/>
          <w:sz w:val="21"/>
          <w:szCs w:val="21"/>
        </w:rPr>
        <w:t xml:space="preserve">The project set out to answer four measurable questions:</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microscaling reaches a higher signal-to-noise ratio than half precision at equal or lower bits per stored value, on the acoustic and elastic kernels of a standard model.</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that advantage survives a stricter, reflection-only accuracy measure that excludes the strong direct arrival.</w:t>
      </w:r>
    </w:p>
    <w:p>
      <w:pPr>
        <w:pStyle w:val="ListParagraph"/>
        <w:numPr>
          <w:ilvl w:val="0"/>
          <w:numId w:val="2"/>
        </w:numPr>
        <w:spacing w:after="40" w:before="40" w:line="295" w:lineRule="auto"/>
      </w:pPr>
      <w:r>
        <w:rPr>
          <w:rFonts w:ascii="Calibri" w:cs="Calibri" w:eastAsia="Calibri" w:hAnsi="Calibri"/>
          <w:color w:val="111111"/>
          <w:sz w:val="21"/>
          <w:szCs w:val="21"/>
        </w:rPr>
        <w:t xml:space="preserve">What sets the accuracy limit, distinguishing the error made by the format on a single frame from the error accumulated over a full solve.</w:t>
      </w:r>
    </w:p>
    <w:p>
      <w:pPr>
        <w:pStyle w:val="ListParagraph"/>
        <w:numPr>
          <w:ilvl w:val="0"/>
          <w:numId w:val="2"/>
        </w:numPr>
        <w:spacing w:after="40" w:before="40" w:line="295" w:lineRule="auto"/>
      </w:pPr>
      <w:r>
        <w:rPr>
          <w:rFonts w:ascii="Calibri" w:cs="Calibri" w:eastAsia="Calibri" w:hAnsi="Calibri"/>
          <w:color w:val="111111"/>
          <w:sz w:val="21"/>
          <w:szCs w:val="21"/>
        </w:rPr>
        <w:t xml:space="preserve">How the shape of the block, at fixed size and bit cost, affects accuracy, and whether it affects the cost of packing and unpacking.</w:t>
      </w:r>
    </w:p>
    <w:p>
      <w:pPr>
        <w:pStyle w:val="Heading1"/>
        <w:spacing w:after="120" w:before="300"/>
      </w:pPr>
      <w:r>
        <w:rPr>
          <w:rFonts w:ascii="Calibri" w:cs="Calibri" w:eastAsia="Calibri" w:hAnsi="Calibri"/>
          <w:b/>
          <w:bCs/>
          <w:color w:val="1F3864"/>
          <w:sz w:val="26"/>
          <w:szCs w:val="26"/>
        </w:rPr>
        <w:t xml:space="preserve">4  Methods</w:t>
      </w:r>
    </w:p>
    <w:p>
      <w:pPr>
        <w:pStyle w:val="Heading2"/>
        <w:spacing w:after="80" w:before="200"/>
      </w:pPr>
      <w:r>
        <w:rPr>
          <w:rFonts w:ascii="Calibri" w:cs="Calibri" w:eastAsia="Calibri" w:hAnsi="Calibri"/>
          <w:b/>
          <w:bCs/>
          <w:color w:val="1F3864"/>
          <w:sz w:val="22"/>
          <w:szCs w:val="22"/>
        </w:rPr>
        <w:t xml:space="preserve">4.1  Storage format</w:t>
      </w:r>
    </w:p>
    <w:p>
      <w:pPr>
        <w:spacing w:after="60" w:before="60" w:line="300" w:lineRule="auto"/>
        <w:jc w:val="left"/>
      </w:pPr>
      <w:r>
        <w:rPr>
          <w:rFonts w:ascii="Calibri" w:cs="Calibri" w:eastAsia="Calibri" w:hAnsi="Calibri"/>
          <w:color w:val="111111"/>
          <w:sz w:val="21"/>
          <w:szCs w:val="21"/>
        </w:rPr>
        <w:t xml:space="preserve">A value is stored by grouping the wavefield into blocks of thirty-two and giving each block one shared exponent while each value keeps its own mantissa. The shared factor is a power of two, held as an eight-bit exponent and set from the largest magnitude in the block, so applying and removing it introduces no rounding of its own. Each value then stores a sign bit and a magnitude. Because the whole block shares one exponent, only values near the top of the block's range normalise into the interval from one to two; every smaller value falls below one, with a leading zero. That leading bit cannot be left implicit the way ordinary floating point does, where each number carries its own exponent and always normalises into one to two, so here it is stored explicitly. The cost per value is thus the mantissa width plus two, the mantissa together with this integer bit and the sign, plus the block's share of the exponent, eight divided by the block size; at twelve mantissa bits and a block of thirty-two this is 14.25 bits, against the flat sixteen of half precision. The implementation is a simplified block floating-point rather than the exact OCP microscaling standard (Open Compute Project, 2023), which assigns each element its own micro-exponent; the distinction is returned to in the discussion.</w:t>
      </w:r>
    </w:p>
    <w:p>
      <w:pPr>
        <w:spacing w:after="60" w:before="60" w:line="300" w:lineRule="auto"/>
        <w:jc w:val="left"/>
      </w:pPr>
      <w:r>
        <w:rPr>
          <w:rFonts w:ascii="Calibri" w:cs="Calibri" w:eastAsia="Calibri" w:hAnsi="Calibri"/>
          <w:color w:val="111111"/>
          <w:sz w:val="21"/>
          <w:szCs w:val="21"/>
        </w:rPr>
        <w:t xml:space="preserve">The separation between storage and computation precision is central and holds throughout. Microscaling narrows storage while the finite-difference arithmetic runs in single precision; half 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pPr>
        <w:pStyle w:val="Heading2"/>
        <w:spacing w:after="80" w:before="200"/>
      </w:pPr>
      <w:r>
        <w:rPr>
          <w:rFonts w:ascii="Calibri" w:cs="Calibri" w:eastAsia="Calibri" w:hAnsi="Calibri"/>
          <w:b/>
          <w:bCs/>
          <w:color w:val="1F3864"/>
          <w:sz w:val="22"/>
          <w:szCs w:val="22"/>
        </w:rPr>
        <w:t xml:space="preserve">4.2  Model and solver</w:t>
      </w:r>
    </w:p>
    <w:p>
      <w:pPr>
        <w:spacing w:after="60" w:before="60" w:line="300" w:lineRule="auto"/>
        <w:jc w:val="left"/>
      </w:pPr>
      <w:r>
        <w:rPr>
          <w:rFonts w:ascii="Calibri" w:cs="Calibri" w:eastAsia="Calibri" w:hAnsi="Calibri"/>
          <w:color w:val="111111"/>
          <w:sz w:val="21"/>
          <w:szCs w:val="21"/>
        </w:rPr>
        <w:t xml:space="preserve">Experiments use the Marmousi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in single precision, after which the wavefield is packed to microscaling and unpacked before the next step, so the format acts only on the stored state between steps. Devito cannot construct a half-precision grid, so the half-precision-arithmetic method of Fabien-Ouellet is reproduced separately in a self-contained stepper (Appendix C). Accuracy sweeps use a cropped window of the model, which shortens each run and allows the many repetitions the sweeps require.</w:t>
      </w:r>
    </w:p>
    <w:p>
      <w:pPr>
        <w:pStyle w:val="Heading2"/>
        <w:spacing w:after="80" w:before="200"/>
      </w:pPr>
      <w:r>
        <w:rPr>
          <w:rFonts w:ascii="Calibri" w:cs="Calibri" w:eastAsia="Calibri" w:hAnsi="Calibri"/>
          <w:b/>
          <w:bCs/>
          <w:color w:val="1F3864"/>
          <w:sz w:val="22"/>
          <w:szCs w:val="22"/>
        </w:rPr>
        <w:t xml:space="preserve">4.3  Accuracy and efficiency metrics</w:t>
      </w:r>
    </w:p>
    <w:p>
      <w:pPr>
        <w:spacing w:after="60" w:before="60" w:line="300" w:lineRule="auto"/>
        <w:jc w:val="left"/>
      </w:pPr>
      <w:r>
        <w:rPr>
          <w:rFonts w:ascii="Calibri" w:cs="Calibri" w:eastAsia="Calibri" w:hAnsi="Calibri"/>
          <w:color w:val="111111"/>
          <w:sz w:val="21"/>
          <w:szCs w:val="21"/>
        </w:rPr>
        <w:t xml:space="preserve">Accuracy is the relative error of the shot record against a full-precision run through the same driver, reported as a signal-to-noise ratio in decibels, minus twenty times the base-ten logarithm of that relative error. Higher is better and a tenfold reduction in error is twenty decibels. A plain error of this kind is dominated by the strong early arrivals, because they carry most of the record's energy, so it mainly measures how well the top of the record is preserved and barely reflects the weak late arrivals that make up the image. To weight the arrivals evenly, both records are multiplied by a gain that grows linearly with time, the standard correction for geometric spreading, before the error is formed; this lifts the weak deep events to a comparable weight so the metric scores the whole record rather than favouring its strongest part. Every signal-to-noise figure quoted below is this time-scaled measure.</w:t>
      </w:r>
    </w:p>
    <w:p>
      <w:pPr>
        <w:spacing w:after="60" w:before="60" w:line="300" w:lineRule="auto"/>
        <w:jc w:val="left"/>
      </w:pPr>
      <w:r>
        <w:rPr>
          <w:rFonts w:ascii="Calibri" w:cs="Calibri" w:eastAsia="Calibri" w:hAnsi="Calibri"/>
          <w:color w:val="111111"/>
          <w:sz w:val="21"/>
          <w:szCs w:val="21"/>
        </w:rPr>
        <w:t xml:space="preserve">A reference point frames the scale: single precision itself departs from double precision by about 9x10^-4 on the full model. Section 5.5 reports a complementary measure that removes the direct arrival outright with a water model, rather than down-weighting it.</w:t>
      </w:r>
    </w:p>
    <w:p>
      <w:pPr>
        <w:spacing w:after="60" w:before="60" w:line="300" w:lineRule="auto"/>
        <w:jc w:val="left"/>
      </w:pPr>
      <w:r>
        <w:rPr>
          <w:rFonts w:ascii="Calibri" w:cs="Calibri" w:eastAsia="Calibri" w:hAnsi="Calibri"/>
          <w:color w:val="111111"/>
          <w:sz w:val="21"/>
          <w:szCs w:val="21"/>
        </w:rPr>
        <w:t xml:space="preserve">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pPr>
        <w:spacing w:after="60" w:before="60" w:line="300" w:lineRule="auto"/>
        <w:jc w:val="left"/>
      </w:pPr>
      <w:r>
        <w:rPr>
          <w:rFonts w:ascii="Calibri" w:cs="Calibri" w:eastAsia="Calibri" w:hAnsi="Calibri"/>
          <w:color w:val="111111"/>
          <w:sz w:val="21"/>
          <w:szCs w:val="21"/>
        </w:rPr>
        <w:t xml:space="preserve">With round-to-nearest the accuracy measurements are deterministic: repeating a run reproduces the reported error exactly, so no run-to-run error bars apply. The one measured quantity that does vary between runs is the wall-clock time of packing and unpacking in Section 5.6, which is reported as the fastest of several repeated batches to suppress scheduling noise.</w:t>
      </w:r>
    </w:p>
    <w:p>
      <w:pPr>
        <w:pStyle w:val="Heading1"/>
        <w:spacing w:after="120" w:before="300"/>
      </w:pPr>
      <w:r>
        <w:rPr>
          <w:rFonts w:ascii="Calibri" w:cs="Calibri" w:eastAsia="Calibri" w:hAnsi="Calibri"/>
          <w:b/>
          <w:bCs/>
          <w:color w:val="1F3864"/>
          <w:sz w:val="26"/>
          <w:szCs w:val="26"/>
        </w:rPr>
        <w:t xml:space="preserve">5  Results</w:t>
      </w:r>
    </w:p>
    <w:p>
      <w:pPr>
        <w:pStyle w:val="Heading2"/>
        <w:spacing w:after="80" w:before="200"/>
      </w:pPr>
      <w:r>
        <w:rPr>
          <w:rFonts w:ascii="Calibri" w:cs="Calibri" w:eastAsia="Calibri" w:hAnsi="Calibri"/>
          <w:b/>
          <w:bCs/>
          <w:color w:val="1F3864"/>
          <w:sz w:val="22"/>
          <w:szCs w:val="22"/>
        </w:rPr>
        <w:t xml:space="preserve">5.1  Accuracy on the acoustic kernel</w:t>
      </w:r>
    </w:p>
    <w:p>
      <w:pPr>
        <w:spacing w:after="40" w:before="120"/>
        <w:jc w:val="center"/>
      </w:pPr>
      <w:r>
        <w:drawing>
          <wp:inline distT="0" distB="0" distL="0" distR="0">
            <wp:extent cx="3905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571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1. Cost against accuracy for every scheme on the cropped Marmousi acoustic model. Lower and further left is better;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Every format was reimplemented in one harness and run on the same model with the same metric, so the comparison does not rest on numbers drawn from different studies (Figure 1). </w:t>
      </w:r>
      <w:r>
        <w:rPr>
          <w:rFonts w:ascii="Calibri" w:cs="Calibri" w:eastAsia="Calibri" w:hAnsi="Calibri"/>
          <w:b/>
          <w:bCs/>
          <w:color w:val="111111"/>
          <w:sz w:val="21"/>
          <w:szCs w:val="21"/>
        </w:rPr>
        <w:t xml:space="preserve">Microscaling reaches 4.1x10^-3 error, or 47.8 dB, at 14.25 bits per value, against 8.2x10^-3, or 41.7 dB, for half precision with scaling at sixteen bits (Table 1).</w:t>
      </w:r>
      <w:r>
        <w:rPr>
          <w:rFonts w:ascii="Calibri" w:cs="Calibri" w:eastAsia="Calibri" w:hAnsi="Calibri"/>
          <w:b w:val="false"/>
          <w:bCs w:val="false"/>
          <w:color w:val="111111"/>
          <w:sz w:val="21"/>
          <w:szCs w:val="21"/>
        </w:rPr>
        <w:t xml:space="preserve"> It is more accurate while storing fewer bits, and by a wider margin than a plain error would suggest, because the time-scaled metric rewards the weak late arrivals that microscaling preserves better than the alternatives. The same holds against bfloat16, whose wide exponent range is wasted on a field that needs precision, not range, and against int16, whose single global fixed-point scale does worse still, for reasons taken up in the discussion.</w:t>
      </w:r>
    </w:p>
    <w:p>
      <w:pPr>
        <w:spacing w:after="50" w:before="90"/>
      </w:pPr>
      <w:r>
        <w:rPr>
          <w:rFonts w:ascii="Calibri" w:cs="Calibri" w:eastAsia="Calibri" w:hAnsi="Calibri"/>
          <w:i/>
          <w:iCs/>
          <w:color w:val="595959"/>
          <w:sz w:val="17"/>
          <w:szCs w:val="17"/>
        </w:rPr>
        <w:t xml:space="preserve">Table 1. Accuracy and cost on the acoustic kernel; the time-scaled signal-to-noise ratio is the primary column.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600"/>
      </w:tblGrid>
      <w:tr>
        <w:tc>
          <w:tcPr>
            <w:tcW w:type="dxa" w:w="2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FP32 reference</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87.7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4.1x10^-5</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41.7</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8.2x10^-3</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37.2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1.4x10^-2</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21.6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8.3x10^-2</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47.8</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56.1</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1.6x10^-3</w:t>
            </w:r>
          </w:p>
        </w:tc>
      </w:tr>
    </w:tbl>
    <w:p>
      <w:pPr>
        <w:spacing w:after="40" w:before="120"/>
        <w:jc w:val="center"/>
      </w:pPr>
      <w:r>
        <w:drawing>
          <wp:inline distT="0" distB="0" distL="0" distR="0">
            <wp:extent cx="4095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57425"/>
                    </a:xfrm>
                    <a:prstGeom prst="rect">
                      <a:avLst/>
                    </a:prstGeom>
                  </pic:spPr>
                </pic:pic>
              </a:graphicData>
            </a:graphic>
          </wp:inline>
        </w:drawing>
      </w:r>
    </w:p>
    <w:p>
      <w:pPr>
        <w:spacing w:after="4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2. Time-scaled differences, two ways. (a) Each scheme's receiver gather minus the full-precision reference, on one common scale, so a larger residual is a worse scheme: bfloat16 leaves the most, microscaling the least. (b) The full record, the water model that carries only the direct arrival, and their difference, which is the reflections: the weak energy that the time gain in (a) brings out and that Section 5.5 scores directly.</w:t>
      </w:r>
    </w:p>
    <w:p>
      <w:pPr>
        <w:spacing w:after="60" w:before="60" w:line="300" w:lineRule="auto"/>
        <w:jc w:val="left"/>
      </w:pPr>
      <w:r>
        <w:rPr>
          <w:rFonts w:ascii="Calibri" w:cs="Calibri" w:eastAsia="Calibri" w:hAnsi="Calibri"/>
          <w:color w:val="111111"/>
          <w:sz w:val="21"/>
          <w:szCs w:val="21"/>
        </w:rPr>
        <w:t xml:space="preserve">Plotting the gathers directly is uninformative, since at a usable setting microscaling and half precision both reproduce the record closely and the panels look alike, which is itself a statement that both are accurate. Figure 2(a) plots the residual against the reference instead, with a linear time gain applied to lift the weak late arrivals: bfloat16 leaves a large residual across the record and microscaling the smallest, with half precision between. Figure 2(b) shows why the late arrivals matter and how they are isolated, by subtracting a water model that carries only the direct arrival; what remains is the reflected energy, and it is on this energy that the time-scaled metric puts most of its weight.</w:t>
      </w:r>
    </w:p>
    <w:p>
      <w:pPr>
        <w:spacing w:after="40" w:before="12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857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3. The reference wavefield and the microscaling wavefield with their difference, at fourteen and ten mantissa bits, each difference shown on its own finer scale.</w:t>
      </w:r>
    </w:p>
    <w:p>
      <w:pPr>
        <w:spacing w:after="60" w:before="60" w:line="300" w:lineRule="auto"/>
        <w:jc w:val="left"/>
      </w:pPr>
      <w:r>
        <w:rPr>
          <w:rFonts w:ascii="Calibri" w:cs="Calibri" w:eastAsia="Calibri" w:hAnsi="Calibri"/>
          <w:b w:val="false"/>
          <w:bCs w:val="false"/>
          <w:color w:val="111111"/>
          <w:sz w:val="21"/>
          <w:szCs w:val="21"/>
        </w:rPr>
        <w:t xml:space="preserve">The closeness is visible in the wavefield itself, not only in the recorded traces (Figure 3). </w:t>
      </w:r>
      <w:r>
        <w:rPr>
          <w:rFonts w:ascii="Calibri" w:cs="Calibri" w:eastAsia="Calibri" w:hAnsi="Calibri"/>
          <w:b/>
          <w:bCs/>
          <w:color w:val="111111"/>
          <w:sz w:val="21"/>
          <w:szCs w:val="21"/>
        </w:rPr>
        <w:t xml:space="preserve">At fourteen mantissa bits the microscaling wavefield is indistinguishable from the reference, and the difference has to be drawn on a scale two orders of magnitude finer to show any structure at all; at ten bits the difference is larger but still faint and confined to the strong wavefronts</w:t>
      </w:r>
      <w:r>
        <w:rPr>
          <w:rFonts w:ascii="Calibri" w:cs="Calibri" w:eastAsia="Calibri" w:hAnsi="Calibri"/>
          <w:b w:val="false"/>
          <w:bCs w:val="false"/>
          <w:color w:val="111111"/>
          <w:sz w:val="21"/>
          <w:szCs w:val="21"/>
        </w:rPr>
        <w:t xml:space="preserve">. This confirms that the format preserves the propagating field, and not merely the receiver record, which is what makes it usable as an in-place storage layer.</w:t>
      </w:r>
    </w:p>
    <w:p>
      <w:pPr>
        <w:pStyle w:val="Heading2"/>
        <w:spacing w:after="80" w:before="200"/>
      </w:pPr>
      <w:r>
        <w:rPr>
          <w:rFonts w:ascii="Calibri" w:cs="Calibri" w:eastAsia="Calibri" w:hAnsi="Calibri"/>
          <w:b/>
          <w:bCs/>
          <w:color w:val="1F3864"/>
          <w:sz w:val="22"/>
          <w:szCs w:val="22"/>
        </w:rPr>
        <w:t xml:space="preserve">5.2  Predicted efficiency</w:t>
      </w:r>
    </w:p>
    <w:p>
      <w:pPr>
        <w:spacing w:after="40" w:before="12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4288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4. Predicted speed-up against error, for the whole solver's memory traffic (all arrays, system level). The dotted line marks the ceiling reachable if the static model arrays were also compressed.</w:t>
      </w:r>
    </w:p>
    <w:p>
      <w:pPr>
        <w:spacing w:after="60" w:before="60" w:line="300" w:lineRule="auto"/>
        <w:jc w:val="left"/>
      </w:pPr>
      <w:r>
        <w:rPr>
          <w:rFonts w:ascii="Calibri" w:cs="Calibri" w:eastAsia="Calibri" w:hAnsi="Calibri"/>
          <w:b w:val="false"/>
          <w:bCs w:val="false"/>
          <w:color w:val="111111"/>
          <w:sz w:val="21"/>
          <w:szCs w:val="21"/>
        </w:rPr>
        <w:t xml:space="preserve">At matched accuracy the bandwidth model gives microscaling a predicted speed-up of about 1.6 times, against 1.5 for half precision (Figure 4). </w:t>
      </w:r>
      <w:r>
        <w:rPr>
          <w:rFonts w:ascii="Calibri" w:cs="Calibri" w:eastAsia="Calibri" w:hAnsi="Calibri"/>
          <w:b/>
          <w:bCs/>
          <w:color w:val="111111"/>
          <w:sz w:val="21"/>
          <w:szCs w:val="21"/>
        </w:rPr>
        <w:t xml:space="preserve">The gain is capped near twofold because only the wavefield is compressed while the model arrays remain in single precision</w:t>
      </w:r>
      <w:r>
        <w:rPr>
          <w:rFonts w:ascii="Calibri" w:cs="Calibri" w:eastAsia="Calibri" w:hAnsi="Calibri"/>
          <w:b w:val="false"/>
          <w:bCs w:val="false"/>
          <w:color w:val="111111"/>
          <w:sz w:val="21"/>
          <w:szCs w:val="21"/>
        </w:rPr>
        <w:t xml:space="preserve">, and that cap, not the format, is what limits the system-level result. Compressing the static model arrays, a low-risk change since they do not accumulate error, would raise the ceiling towards fivefold and is the most valuable next step.</w:t>
      </w:r>
    </w:p>
    <w:p>
      <w:pPr>
        <w:pStyle w:val="Heading2"/>
        <w:spacing w:after="80" w:before="200"/>
      </w:pPr>
      <w:r>
        <w:rPr>
          <w:rFonts w:ascii="Calibri" w:cs="Calibri" w:eastAsia="Calibri" w:hAnsi="Calibri"/>
          <w:b/>
          <w:bCs/>
          <w:color w:val="1F3864"/>
          <w:sz w:val="22"/>
          <w:szCs w:val="22"/>
        </w:rPr>
        <w:t xml:space="preserve">5.3  The elastic kernel</w:t>
      </w:r>
    </w:p>
    <w:p>
      <w:pPr>
        <w:spacing w:after="40" w:before="120"/>
        <w:jc w:val="center"/>
      </w:pPr>
      <w:r>
        <w:drawing>
          <wp:inline distT="0" distB="0" distL="0" distR="0">
            <wp:extent cx="3857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57625" cy="24955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5. Elastic kernel, per-field storage accuracy: microscaling against a per-field half-precision scaling, same model and metric.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On the elastic kernel, the setting half-precision scaling was designed for, microscaling again reaches better accuracy at fewer bits (Figure 5). </w:t>
      </w:r>
      <w:r>
        <w:rPr>
          <w:rFonts w:ascii="Calibri" w:cs="Calibri" w:eastAsia="Calibri" w:hAnsi="Calibri"/>
          <w:b/>
          <w:bCs/>
          <w:color w:val="111111"/>
          <w:sz w:val="21"/>
          <w:szCs w:val="21"/>
        </w:rPr>
        <w:t xml:space="preserve">At 14.25 bits it gives 47 dB against 41 dB for the per-field scaled half precision at sixteen bits, and even at eleven mantissa bits, 13.25 bits per value, it holds 44 dB, above the half-precision point while spending nearly three bits per value less.</w:t>
      </w:r>
      <w:r>
        <w:rPr>
          <w:rFonts w:ascii="Calibri" w:cs="Calibri" w:eastAsia="Calibri" w:hAnsi="Calibri"/>
          <w:b w:val="false"/>
          <w:bCs w:val="false"/>
          <w:color w:val="111111"/>
          <w:sz w:val="21"/>
          <w:szCs w:val="21"/>
        </w:rPr>
        <w:t xml:space="preserve"> The crossover where microscaling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pPr>
        <w:pStyle w:val="Heading2"/>
        <w:spacing w:after="80" w:before="200"/>
      </w:pPr>
      <w:r>
        <w:rPr>
          <w:rFonts w:ascii="Calibri" w:cs="Calibri" w:eastAsia="Calibri" w:hAnsi="Calibri"/>
          <w:b/>
          <w:bCs/>
          <w:color w:val="1F3864"/>
          <w:sz w:val="22"/>
          <w:szCs w:val="22"/>
        </w:rPr>
        <w:t xml:space="preserve">5.4  What limits the accuracy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6. Single-frame error, from compressing and decompressing once, against the error accumulated over the full solve, in decibels. The gap is the amplification propagation adds.</w:t>
      </w:r>
    </w:p>
    <w:p>
      <w:pPr>
        <w:spacing w:after="60" w:before="60" w:line="300" w:lineRule="auto"/>
        <w:jc w:val="left"/>
      </w:pPr>
      <w:r>
        <w:rPr>
          <w:rFonts w:ascii="Calibri" w:cs="Calibri" w:eastAsia="Calibri" w:hAnsi="Calibri"/>
          <w:b/>
          <w:bCs/>
          <w:color w:val="111111"/>
          <w:sz w:val="21"/>
          <w:szCs w:val="21"/>
        </w:rPr>
        <w:t xml:space="preserve">The accuracy limit is not set by the format's error on any one frame. </w:t>
      </w:r>
      <w:r>
        <w:rPr>
          <w:rFonts w:ascii="Calibri" w:cs="Calibri" w:eastAsia="Calibri" w:hAnsi="Calibri"/>
          <w:b w:val="false"/>
          <w:bCs w:val="false"/>
          <w:color w:val="111111"/>
          <w:sz w:val="21"/>
          <w:szCs w:val="21"/>
        </w:rPr>
        <w:t xml:space="preserve">A single compression and decompression at twelve mantissa bits loses only about 78 dB, effectively nothing, yet the same format run through the solve sits near 35 dB on the wavefield: propagation amplifies the single-frame error by roughly one to two hundred times (Figure 6).</w:t>
      </w:r>
      <w:r>
        <w:rPr>
          <w:rFonts w:ascii="Calibri" w:cs="Calibri" w:eastAsia="Calibri" w:hAnsi="Calibri"/>
          <w:b w:val="false"/>
          <w:bCs w:val="false"/>
          <w:color w:val="111111"/>
          <w:sz w:val="21"/>
          <w:szCs w:val="21"/>
        </w:rPr>
        <w:t xml:space="preserve">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quantising less often, is the more efficient route and is left for further work.</w:t>
      </w:r>
    </w:p>
    <w:p>
      <w:pPr>
        <w:pStyle w:val="Heading2"/>
        <w:spacing w:after="80" w:before="200"/>
      </w:pPr>
      <w:r>
        <w:rPr>
          <w:rFonts w:ascii="Calibri" w:cs="Calibri" w:eastAsia="Calibri" w:hAnsi="Calibri"/>
          <w:b/>
          <w:bCs/>
          <w:color w:val="1F3864"/>
          <w:sz w:val="22"/>
          <w:szCs w:val="22"/>
        </w:rPr>
        <w:t xml:space="preserve">5.5  Scoring the reflections directly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7. Time-scaled whole-record against reflection-only signal-to-noise ratio by bit width. The reflections are isolated by subtracting a water model that carries only the direct arrival (Figure 2b).</w:t>
      </w:r>
    </w:p>
    <w:p>
      <w:pPr>
        <w:spacing w:after="60" w:before="60" w:line="300" w:lineRule="auto"/>
        <w:jc w:val="left"/>
      </w:pPr>
      <w:r>
        <w:rPr>
          <w:rFonts w:ascii="Calibri" w:cs="Calibri" w:eastAsia="Calibri" w:hAnsi="Calibri"/>
          <w:color w:val="111111"/>
          <w:sz w:val="21"/>
          <w:szCs w:val="21"/>
        </w:rPr>
        <w:t xml:space="preserve">Time-scaling weights the arrivals evenly but does not remove the direct arrival, which any format reproduces easily. A stricter measure scores the reflections alone, isolated with a water model: a second model that is water everywhere at the surface velocity, run with the source, geometry and time-stepping held identical and only the velocity changed, produces the direct arrival by itself, and subtracting it leaves the reflections. The microscaling run is put through the water model as well, so the arrival removed is the one it produced.</w:t>
      </w:r>
    </w:p>
    <w:p>
      <w:pPr>
        <w:spacing w:after="60" w:before="60" w:line="300" w:lineRule="auto"/>
        <w:jc w:val="left"/>
      </w:pPr>
      <w:r>
        <w:rPr>
          <w:rFonts w:ascii="Calibri" w:cs="Calibri" w:eastAsia="Calibri" w:hAnsi="Calibri"/>
          <w:b w:val="false"/>
          <w:bCs w:val="false"/>
          <w:color w:val="111111"/>
          <w:sz w:val="21"/>
          <w:szCs w:val="21"/>
        </w:rPr>
        <w:t xml:space="preserve">The reflections carry about 45 percent of the record's energy (Figure 7). </w:t>
      </w:r>
      <w:r>
        <w:rPr>
          <w:rFonts w:ascii="Calibri" w:cs="Calibri" w:eastAsia="Calibri" w:hAnsi="Calibri"/>
          <w:b/>
          <w:bCs/>
          <w:color w:val="111111"/>
          <w:sz w:val="21"/>
          <w:szCs w:val="21"/>
        </w:rPr>
        <w:t xml:space="preserve">Scored on them alone, microscaling reaches 43 dB at twelve mantissa bits, about five decibels below its whole-record figure of 48 dB but still clear of a 40 dB target, and the gap holds across bit widths with the ranking of the schemes unchanged</w:t>
      </w:r>
      <w:r>
        <w:rPr>
          <w:rFonts w:ascii="Calibri" w:cs="Calibri" w:eastAsia="Calibri" w:hAnsi="Calibri"/>
          <w:b w:val="false"/>
          <w:bCs w:val="false"/>
          <w:color w:val="111111"/>
          <w:sz w:val="21"/>
          <w:szCs w:val="21"/>
        </w:rPr>
        <w:t xml:space="preserve">. Its advantage therefore does not rest on the strong direct arrival, but holds on the weak reflected energy the image is built from.</w:t>
      </w:r>
    </w:p>
    <w:p>
      <w:pPr>
        <w:pStyle w:val="Heading2"/>
        <w:spacing w:after="80" w:before="200"/>
      </w:pPr>
      <w:r>
        <w:rPr>
          <w:rFonts w:ascii="Calibri" w:cs="Calibri" w:eastAsia="Calibri" w:hAnsi="Calibri"/>
          <w:b/>
          <w:bCs/>
          <w:color w:val="1F3864"/>
          <w:sz w:val="22"/>
          <w:szCs w:val="22"/>
        </w:rPr>
        <w:t xml:space="preserve">5.6  Block shape</w:t>
      </w:r>
    </w:p>
    <w:p>
      <w:pPr>
        <w:spacing w:after="40" w:before="120"/>
        <w:jc w:val="center"/>
      </w:pPr>
      <w:r>
        <w:drawing>
          <wp:inline distT="0" distB="0" distL="0" distR="0">
            <wp:extent cx="4095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1714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8. Accuracy (left) and pack-and-unpack time (right) against block shape, at fixed size and bit cost. Aspect ratio one is a square block, higher is more strip-like.</w:t>
      </w:r>
    </w:p>
    <w:p>
      <w:pPr>
        <w:spacing w:after="60" w:before="60" w:line="300" w:lineRule="auto"/>
        <w:jc w:val="left"/>
      </w:pPr>
      <w:r>
        <w:rPr>
          <w:rFonts w:ascii="Calibri" w:cs="Calibri" w:eastAsia="Calibri" w:hAnsi="Calibri"/>
          <w:b/>
          <w:bCs/>
          <w:color w:val="111111"/>
          <w:sz w:val="21"/>
          <w:szCs w:val="21"/>
        </w:rPr>
        <w:t xml:space="preserve">A block of thirty-two values was found to be more accurate than smaller blocks, which is the wrong way round if size alone mattered, and the cause is shape. </w:t>
      </w:r>
      <w:r>
        <w:rPr>
          <w:rFonts w:ascii="Calibri" w:cs="Calibri" w:eastAsia="Calibri" w:hAnsi="Calibri"/>
          <w:b w:val="false"/>
          <w:bCs w:val="false"/>
          <w:color w:val="111111"/>
          <w:sz w:val="21"/>
          <w:szCs w:val="21"/>
        </w:rPr>
        <w:t xml:space="preserve">Holding the block size and bit cost fixed and varying only the shape, the memory-ordered strip gives 23.9 dB and a square block 28.5 dB, a gain of 4.6 dB at the same cost (Figure 8).</w:t>
      </w:r>
      <w:r>
        <w:rPr>
          <w:rFonts w:ascii="Calibri" w:cs="Calibri" w:eastAsia="Calibri" w:hAnsi="Calibri"/>
          <w:b w:val="false"/>
          <w:bCs w:val="false"/>
          <w:color w:val="111111"/>
          <w:sz w:val="21"/>
          <w:szCs w:val="21"/>
        </w:rPr>
        <w:t xml:space="preserve">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pPr>
        <w:pStyle w:val="Heading1"/>
        <w:spacing w:after="120" w:before="300"/>
      </w:pPr>
      <w:r>
        <w:rPr>
          <w:rFonts w:ascii="Calibri" w:cs="Calibri" w:eastAsia="Calibri" w:hAnsi="Calibri"/>
          <w:b/>
          <w:bCs/>
          <w:color w:val="1F3864"/>
          <w:sz w:val="26"/>
          <w:szCs w:val="26"/>
        </w:rPr>
        <w:t xml:space="preserve">6  Discussion</w:t>
      </w:r>
    </w:p>
    <w:p>
      <w:pPr>
        <w:spacing w:after="60" w:before="60" w:line="300" w:lineRule="auto"/>
        <w:jc w:val="left"/>
      </w:pPr>
      <w:r>
        <w:rPr>
          <w:rFonts w:ascii="Calibri" w:cs="Calibri" w:eastAsia="Calibri" w:hAnsi="Calibri"/>
          <w:color w:val="111111"/>
          <w:sz w:val="21"/>
          <w:szCs w:val="21"/>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microscaling range. int16 is thus the one-block limit of the same family, and microscaling is int16 given the local scales it was missing. Bit allocation, not bit count, is what determines accuracy, which is also why bfloat16, rich in range but poor in mantissa, does worst of all.</w:t>
      </w:r>
    </w:p>
    <w:p>
      <w:pPr>
        <w:spacing w:after="60" w:before="60" w:line="300" w:lineRule="auto"/>
        <w:jc w:val="left"/>
      </w:pPr>
      <w:r>
        <w:rPr>
          <w:rFonts w:ascii="Calibri" w:cs="Calibri" w:eastAsia="Calibri" w:hAnsi="Calibri"/>
          <w:b/>
          <w:bCs/>
          <w:color w:val="111111"/>
          <w:sz w:val="21"/>
          <w:szCs w:val="21"/>
        </w:rPr>
        <w:t xml:space="preserve">The limitations fall into two kinds. </w:t>
      </w:r>
      <w:r>
        <w:rPr>
          <w:rFonts w:ascii="Calibri" w:cs="Calibri" w:eastAsia="Calibri" w:hAnsi="Calibri"/>
          <w:b w:val="false"/>
          <w:bCs w:val="false"/>
          <w:color w:val="111111"/>
          <w:sz w:val="21"/>
          <w:szCs w:val="21"/>
        </w:rPr>
        <w:t xml:space="preserve">One is inherent to the method. The system-level speed-up is capped near twofold because only the wavefield is compressed while the model arrays are not, and error accumulation over time steps, shown in Section 5.4 to be the binding constraint, is a property of feeding a quantised field back into the solve rather than of the present implementation. The other kind is a limitation of this study, and could be lifted with more time. Efficiency is modelled rather than measured because the format is emulated; the quantiser is a simplified block floating-point rather than the exact OCP standard, so published guidance on safe bit widths would require that standard; and the experiments are two-dimensional and single-shot on cropped models. Two smaller questions were left open by the study: stochastic rounding did not improve on round-to-nearest, contrary to results for the parabolic heat equation (Croci and Giles, 2023), and the effect of quantising less frequently was not swept. The block-size behaviour is a shape effect (Section 5.6).</w:t>
      </w:r>
    </w:p>
    <w:p>
      <w:pPr>
        <w:pStyle w:val="Heading1"/>
        <w:spacing w:after="120" w:before="300"/>
      </w:pPr>
      <w:r>
        <w:rPr>
          <w:rFonts w:ascii="Calibri" w:cs="Calibri" w:eastAsia="Calibri" w:hAnsi="Calibri"/>
          <w:b/>
          <w:bCs/>
          <w:color w:val="1F3864"/>
          <w:sz w:val="26"/>
          <w:szCs w:val="26"/>
        </w:rPr>
        <w:t xml:space="preserve">7  Conclusions and future work</w:t>
      </w:r>
    </w:p>
    <w:p>
      <w:pPr>
        <w:spacing w:after="60" w:before="60" w:line="300" w:lineRule="auto"/>
        <w:jc w:val="left"/>
      </w:pPr>
      <w:r>
        <w:rPr>
          <w:rFonts w:ascii="Calibri" w:cs="Calibri" w:eastAsia="Calibri" w:hAnsi="Calibri"/>
          <w:color w:val="111111"/>
          <w:sz w:val="21"/>
          <w:szCs w:val="21"/>
        </w:rPr>
        <w:t xml:space="preserve">The four objectives set out in Section 3 were all met. On the first, microscaling reached a higher signal-to-noise ratio than half precision at fewer bits per stored value, on both kernels: 47.8 dB against 41.7 dB at 14.25 bits on the acoustic kernel, and 46.7 dB, or 43.6 dB at only 13.25 bits, against 40.6 dB on the elastic kernel. On the second, that advantage survived a physical removal of the direct arrival: scored on the reflections alone microscaling reached about 43 dB at twelve mantissa bits, close to its whole-record figure and still clear of a 40 dB target, with the ranking of the schemes unchanged. On the third, the accuracy limit was shown to come from error accumulation over time steps rather than from the format's single-frame error, which a single compress-and-decompress preserves to about 78 dB while the full solve amplifies it a hundredfold or more. On the fourth, block shape was found to affect accuracy at fixed cost, a square block beating the memory-ordered strip by 4.6 dB, while adding only a 1.1 to 1.2 times pack-and-unpack overhead that is negligible in a bandwidth-bound solver.</w:t>
      </w:r>
    </w:p>
    <w:p>
      <w:pPr>
        <w:spacing w:after="60" w:before="60" w:line="300" w:lineRule="auto"/>
        <w:jc w:val="left"/>
      </w:pPr>
      <w:r>
        <w:rPr>
          <w:rFonts w:ascii="Calibri" w:cs="Calibri" w:eastAsia="Calibri" w:hAnsi="Calibri"/>
          <w:color w:val="111111"/>
          <w:sz w:val="21"/>
          <w:szCs w:val="21"/>
        </w:rPr>
        <w:t xml:space="preserve">Taken together these establish microscaling storage as a practical means of reducing the memory traffic that governs solver speed, more accurate per stored bit than the half-precision baseline in current use, and understood well enough to say where its limit lies and how its blocks should be arranged.</w:t>
      </w:r>
    </w:p>
    <w:p>
      <w:pPr>
        <w:spacing w:after="60" w:before="60" w:line="300" w:lineRule="auto"/>
        <w:jc w:val="left"/>
      </w:pPr>
      <w:r>
        <w:rPr>
          <w:rFonts w:ascii="Calibri" w:cs="Calibri" w:eastAsia="Calibri" w:hAnsi="Calibri"/>
          <w:color w:val="111111"/>
          <w:sz w:val="21"/>
          <w:szCs w:val="21"/>
        </w:rPr>
        <w:t xml:space="preserve">The immediate next step is to compress the static model arrays, which the efficiency model identifies as the largest available gain, and to move from the simplified quantiser to the exact OCP microscaling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pPr>
        <w:spacing w:after="60" w:before="60" w:line="300" w:lineRule="auto"/>
        <w:jc w:val="left"/>
      </w:pPr>
      <w:r>
        <w:rPr>
          <w:rFonts w:ascii="Calibri" w:cs="Calibri" w:eastAsia="Calibri" w:hAnsi="Calibri"/>
          <w:color w:val="111111"/>
          <w:sz w:val="21"/>
          <w:szCs w:val="21"/>
        </w:rPr>
        <w:t xml:space="preserve">Realising the predicted speed-up on hardware is the natural continuation, and the distinction between the present work and a hardware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pPr>
        <w:pStyle w:val="Heading1"/>
        <w:spacing w:after="120" w:before="300"/>
      </w:pPr>
      <w:r>
        <w:rPr>
          <w:rFonts w:ascii="Calibri" w:cs="Calibri" w:eastAsia="Calibri" w:hAnsi="Calibri"/>
          <w:b/>
          <w:bCs/>
          <w:color w:val="1F3864"/>
          <w:sz w:val="26"/>
          <w:szCs w:val="26"/>
        </w:rPr>
        <w:t xml:space="preserve">Acknowledgements</w:t>
      </w:r>
    </w:p>
    <w:p>
      <w:pPr>
        <w:spacing w:after="60" w:before="60" w:line="300" w:lineRule="auto"/>
        <w:jc w:val="left"/>
      </w:pPr>
      <w:r>
        <w:rPr>
          <w:rFonts w:ascii="Calibri" w:cs="Calibri" w:eastAsia="Calibri" w:hAnsi="Calibri"/>
          <w:color w:val="111111"/>
          <w:sz w:val="21"/>
          <w:szCs w:val="21"/>
        </w:rPr>
        <w:t xml:space="preserve">I thank Dr James Hobro of SLB for supervising this project and for guidance throughout, and SLB for proposing and sponsoring the work.</w:t>
      </w:r>
    </w:p>
    <w:p>
      <w:pPr>
        <w:spacing w:after="60" w:before="60" w:line="300" w:lineRule="auto"/>
        <w:jc w:val="left"/>
      </w:pPr>
      <w:r>
        <w:rPr>
          <w:rFonts w:ascii="Calibri" w:cs="Calibri" w:eastAsia="Calibri" w:hAnsi="Calibri"/>
          <w:color w:val="111111"/>
          <w:sz w:val="21"/>
          <w:szCs w:val="21"/>
        </w:rPr>
        <w:t xml:space="preserve">Generative AI (Anthropic's Claude) was used as an assistant during the project. Its use covered drafting and refining code for the experiments, help with debugging, exploratory analysis of results, and language editing of this report. All experimental design, the interpretation of results, and the final content were reviewed and verified by the author, who takes full responsibility for the work.</w:t>
      </w:r>
    </w:p>
    <w:p>
      <w:pPr>
        <w:pStyle w:val="Heading1"/>
        <w:spacing w:after="120" w:before="300"/>
      </w:pPr>
      <w:r>
        <w:rPr>
          <w:rFonts w:ascii="Calibri" w:cs="Calibri" w:eastAsia="Calibri" w:hAnsi="Calibri"/>
          <w:b/>
          <w:bCs/>
          <w:color w:val="1F3864"/>
          <w:sz w:val="26"/>
          <w:szCs w:val="26"/>
        </w:rPr>
        <w:t xml:space="preserve">References</w:t>
      </w:r>
    </w:p>
    <w:p>
      <w:pPr>
        <w:spacing w:after="40" w:before="40" w:line="270" w:lineRule="auto"/>
        <w:ind w:left="360" w:hanging="360"/>
      </w:pPr>
      <w:r>
        <w:rPr>
          <w:rFonts w:ascii="Calibri" w:cs="Calibri" w:eastAsia="Calibri" w:hAnsi="Calibri"/>
          <w:color w:val="111111"/>
          <w:sz w:val="19"/>
          <w:szCs w:val="19"/>
        </w:rPr>
        <w:t xml:space="preserve">Croci, M., and Giles, M. B. (2023). Effects of round-to-nearest and stochastic rounding in the numerical solution of the heat equation in low precision. IMA Journal of Numerical Analysis, 43(3), 1358-1390.</w:t>
      </w:r>
    </w:p>
    <w:p>
      <w:pPr>
        <w:spacing w:after="40" w:before="40" w:line="270" w:lineRule="auto"/>
        <w:ind w:left="360" w:hanging="360"/>
      </w:pPr>
      <w:r>
        <w:rPr>
          <w:rFonts w:ascii="Calibri" w:cs="Calibri" w:eastAsia="Calibri" w:hAnsi="Calibri"/>
          <w:color w:val="111111"/>
          <w:sz w:val="19"/>
          <w:szCs w:val="19"/>
        </w:rPr>
        <w:t xml:space="preserve">Fabien-Ouellet, G. (2020). Seismic modeling and inversion using half-precision floating-point numbers. Geophysics, 85(3), F65-F76.</w:t>
      </w:r>
    </w:p>
    <w:p>
      <w:pPr>
        <w:spacing w:after="40" w:before="40" w:line="270" w:lineRule="auto"/>
        <w:ind w:left="360" w:hanging="360"/>
      </w:pPr>
      <w:r>
        <w:rPr>
          <w:rFonts w:ascii="Calibri" w:cs="Calibri" w:eastAsia="Calibri" w:hAnsi="Calibri"/>
          <w:color w:val="111111"/>
          <w:sz w:val="19"/>
          <w:szCs w:val="19"/>
        </w:rPr>
        <w:t xml:space="preserve">Lindstrom, P. (2014). Fixed-rate compressed floating-point arrays. IEEE Transactions on Visualization and Computer Graphics, 20(12), 2674-2683.</w:t>
      </w:r>
    </w:p>
    <w:p>
      <w:pPr>
        <w:spacing w:after="40" w:before="40" w:line="270" w:lineRule="auto"/>
        <w:ind w:left="360" w:hanging="360"/>
      </w:pPr>
      <w:r>
        <w:rPr>
          <w:rFonts w:ascii="Calibri" w:cs="Calibri" w:eastAsia="Calibri" w:hAnsi="Calibri"/>
          <w:color w:val="111111"/>
          <w:sz w:val="19"/>
          <w:szCs w:val="19"/>
        </w:rPr>
        <w:t xml:space="preserve">Louboutin, M., Lange, M., Luporini, F., Kukreja, N., Witte, P. A., Herrmann, F. J., Velesko, P., and Gorman, G. J. (2019). Devito (v3.1.0): an embedded domain-specific language for finite differences and geophysical exploration. Geoscientific Model Development, 12(3), 1165-1187.</w:t>
      </w:r>
    </w:p>
    <w:p>
      <w:pPr>
        <w:spacing w:after="40" w:before="40" w:line="270" w:lineRule="auto"/>
        <w:ind w:left="360" w:hanging="360"/>
      </w:pPr>
      <w:r>
        <w:rPr>
          <w:rFonts w:ascii="Calibri" w:cs="Calibri" w:eastAsia="Calibri" w:hAnsi="Calibri"/>
          <w:color w:val="111111"/>
          <w:sz w:val="19"/>
          <w:szCs w:val="19"/>
        </w:rPr>
        <w:t xml:space="preserve">Open Compute Project (2023). OCP Microscaling Formats (MX) Specification, Version 1.0.</w:t>
      </w:r>
    </w:p>
    <w:p>
      <w:pPr>
        <w:spacing w:after="40" w:before="40" w:line="270" w:lineRule="auto"/>
        <w:ind w:left="360" w:hanging="360"/>
      </w:pPr>
      <w:r>
        <w:rPr>
          <w:rFonts w:ascii="Calibri" w:cs="Calibri" w:eastAsia="Calibri" w:hAnsi="Calibri"/>
          <w:color w:val="111111"/>
          <w:sz w:val="19"/>
          <w:szCs w:val="19"/>
        </w:rPr>
        <w:t xml:space="preserve">Versteeg, R. (1994). The Marmousi experience: velocity model determination on a synthetic complex data set. The Leading Edge, 13(9), 927-936.</w:t>
      </w:r>
    </w:p>
    <w:p>
      <w:pPr>
        <w:spacing w:after="40" w:before="40" w:line="270" w:lineRule="auto"/>
        <w:ind w:left="360" w:hanging="360"/>
      </w:pPr>
      <w:r>
        <w:rPr>
          <w:rFonts w:ascii="Calibri" w:cs="Calibri" w:eastAsia="Calibri" w:hAnsi="Calibri"/>
          <w:color w:val="111111"/>
          <w:sz w:val="19"/>
          <w:szCs w:val="19"/>
        </w:rPr>
        <w:t xml:space="preserve">Virieux, J., and Operto, S. (2009). An overview of full-waveform inversion in exploration geophysics. Geophysics, 74(6), WCC1-WCC26.</w:t>
      </w:r>
    </w:p>
    <w:p>
      <w:r>
        <w:br w:type="page"/>
      </w:r>
    </w:p>
    <w:p>
      <w:pPr>
        <w:pStyle w:val="Heading1"/>
        <w:spacing w:after="120" w:before="300"/>
      </w:pPr>
      <w:r>
        <w:rPr>
          <w:rFonts w:ascii="Calibri" w:cs="Calibri" w:eastAsia="Calibri" w:hAnsi="Calibri"/>
          <w:b/>
          <w:bCs/>
          <w:color w:val="1F3864"/>
          <w:sz w:val="26"/>
          <w:szCs w:val="26"/>
        </w:rPr>
        <w:t xml:space="preserve">Appendix A  Baseline validation</w:t>
      </w:r>
    </w:p>
    <w:p>
      <w:pPr>
        <w:spacing w:after="60" w:before="60" w:line="300" w:lineRule="auto"/>
        <w:jc w:val="left"/>
      </w:pPr>
      <w:r>
        <w:rPr>
          <w:rFonts w:ascii="Calibri" w:cs="Calibri" w:eastAsia="Calibri" w:hAnsi="Calibri"/>
          <w:color w:val="111111"/>
          <w:sz w:val="21"/>
          <w:szCs w:val="21"/>
        </w:rPr>
        <w:t xml:space="preserve">The full-precision baseline against which every scheme is measured. Figure A1 shows the velocity model and acquisition; Figure A2 gives the single- against double-precision difference that fixes the accuracy reference at about 9x10^-4 on the full model.</w:t>
      </w:r>
    </w:p>
    <w:p>
      <w:pPr>
        <w:spacing w:after="40" w:before="120"/>
        <w:jc w:val="center"/>
      </w:pPr>
      <w:r>
        <w:drawing>
          <wp:inline distT="0" distB="0" distL="0" distR="0">
            <wp:extent cx="3429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428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A1. Marmousi velocity model with source and receiver positions.</w:t>
      </w:r>
    </w:p>
    <w:p>
      <w:pPr>
        <w:spacing w:after="40" w:before="120"/>
        <w:jc w:val="center"/>
      </w:pPr>
      <w:r>
        <w:drawing>
          <wp:inline distT="0" distB="0" distL="0" distR="0">
            <wp:extent cx="3143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526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A2. Single- against double-precision difference, which sets the accuracy reference.</w:t>
      </w:r>
    </w:p>
    <w:p>
      <w:pPr>
        <w:pStyle w:val="Heading1"/>
        <w:spacing w:after="120" w:before="300"/>
      </w:pPr>
      <w:r>
        <w:rPr>
          <w:rFonts w:ascii="Calibri" w:cs="Calibri" w:eastAsia="Calibri" w:hAnsi="Calibri"/>
          <w:b/>
          <w:bCs/>
          <w:color w:val="1F3864"/>
          <w:sz w:val="26"/>
          <w:szCs w:val="26"/>
        </w:rPr>
        <w:t xml:space="preserve">Appendix B  Supporting figures</w:t>
      </w:r>
    </w:p>
    <w:p>
      <w:pPr>
        <w:spacing w:after="60" w:before="60" w:line="300" w:lineRule="auto"/>
        <w:jc w:val="left"/>
      </w:pPr>
      <w:r>
        <w:rPr>
          <w:rFonts w:ascii="Calibri" w:cs="Calibri" w:eastAsia="Calibri" w:hAnsi="Calibri"/>
          <w:color w:val="111111"/>
          <w:sz w:val="21"/>
          <w:szCs w:val="21"/>
        </w:rPr>
        <w:t xml:space="preserve">Figure B1 shows how the wavefield error builds up over the solve, the growth behind the accumulation argument of Section 5.4. Figure B2 is the int16 diagnostic of Section 6, where giving int16 a scale per block drops its error below half precision and converges towards microscaling as the block shrinks.</w:t>
      </w:r>
    </w:p>
    <w:p>
      <w:pPr>
        <w:spacing w:after="40" w:before="120"/>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1431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B1. Growth of the relative wavefield error over the solve at six mantissa bits, on a logarithmic axis.</w:t>
      </w:r>
    </w:p>
    <w:p>
      <w:pPr>
        <w:spacing w:after="40" w:before="12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21812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B2. int16 error as the number of independent scales increases; per-block scaling converges to microscaling.</w:t>
      </w:r>
    </w:p>
    <w:p>
      <w:pPr>
        <w:pStyle w:val="Heading1"/>
        <w:spacing w:after="120" w:before="300"/>
      </w:pPr>
      <w:r>
        <w:rPr>
          <w:rFonts w:ascii="Calibri" w:cs="Calibri" w:eastAsia="Calibri" w:hAnsi="Calibri"/>
          <w:b/>
          <w:bCs/>
          <w:color w:val="1F3864"/>
          <w:sz w:val="26"/>
          <w:szCs w:val="26"/>
        </w:rPr>
        <w:t xml:space="preserve">Appendix C  Half-precision arithmetic</w:t>
      </w:r>
    </w:p>
    <w:p>
      <w:pPr>
        <w:spacing w:after="60" w:before="60" w:line="300" w:lineRule="auto"/>
        <w:jc w:val="left"/>
      </w:pPr>
      <w:r>
        <w:rPr>
          <w:rFonts w:ascii="Calibri" w:cs="Calibri" w:eastAsia="Calibri" w:hAnsi="Calibri"/>
          <w:color w:val="111111"/>
          <w:sz w:val="21"/>
          <w:szCs w:val="21"/>
        </w:rPr>
        <w:t xml:space="preserve">Because Devito cannot build a half-precision grid, the half-precision-arithmetic method of Fabien-Ouellet was reproduced in a self-contained stepper (Figure C1), which reproduces the reported behaviour and confirms the baseline the elastic comparison scores against. Table C1 gives the elastic-kernel figures in full.</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C1. Reproduction of half-precision arithmetic in a self-contained stepper.</w:t>
      </w:r>
    </w:p>
    <w:p>
      <w:pPr>
        <w:spacing w:after="50" w:before="90"/>
      </w:pPr>
      <w:r>
        <w:rPr>
          <w:rFonts w:ascii="Calibri" w:cs="Calibri" w:eastAsia="Calibri" w:hAnsi="Calibri"/>
          <w:i/>
          <w:iCs/>
          <w:color w:val="595959"/>
          <w:sz w:val="17"/>
          <w:szCs w:val="17"/>
        </w:rPr>
        <w:t xml:space="preserve">Table C1. Accuracy and cost on the elastic kernel.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300"/>
        <w:gridCol w:w="1600"/>
      </w:tblGrid>
      <w:tr>
        <w:tc>
          <w:tcPr>
            <w:tcW w:type="dxa" w:w="29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4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9.7x10^-3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per-field scaling</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9.3x10^-3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40.1</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9.9x10^-3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43.6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6.6x10^-3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63.0</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7.1x10^-4</w:t>
            </w:r>
          </w:p>
        </w:tc>
      </w:tr>
    </w:tbl>
    <w:sectPr>
      <w:footerReference w:type="default" r:id="rId7"/>
      <w:footerReference w:type="first" r:id="rId8"/>
      <w:pgSz w:w="11906" w:h="16838" w:orient="portrait"/>
      <w:pgMar w:top="12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0b4270de1c7b99bd4421f49e68dd139232407f7.png"/><Relationship Id="rId10" Type="http://schemas.openxmlformats.org/officeDocument/2006/relationships/image" Target="media/6b47659c55b37fa987a15dc068eaf01087eddbeb.png"/><Relationship Id="rId11" Type="http://schemas.openxmlformats.org/officeDocument/2006/relationships/image" Target="media/e2fe0a59d0f0e66a7c232766acf4a6d9bedcb136.png"/><Relationship Id="rId12" Type="http://schemas.openxmlformats.org/officeDocument/2006/relationships/image" Target="media/553eff9e420711ca504c1951381919e64ffb6296.png"/><Relationship Id="rId13" Type="http://schemas.openxmlformats.org/officeDocument/2006/relationships/image" Target="media/aed7268170ecc353aec3fc25c1f8132ac43c97df.png"/><Relationship Id="rId14" Type="http://schemas.openxmlformats.org/officeDocument/2006/relationships/image" Target="media/db842930f810e53faf30359d01fcefbb588e1e05.png"/><Relationship Id="rId15" Type="http://schemas.openxmlformats.org/officeDocument/2006/relationships/image" Target="media/dcae104de4f8772bee60fc0ae5c21b6adacbdf6d.png"/><Relationship Id="rId16" Type="http://schemas.openxmlformats.org/officeDocument/2006/relationships/image" Target="media/ece73b4cf61750b5ec1f552e4b7d87ce2e9af12f.png"/><Relationship Id="rId17" Type="http://schemas.openxmlformats.org/officeDocument/2006/relationships/image" Target="media/a19efc8aaa48ddca6379f9b4cb81326098bd7a06.png"/><Relationship Id="rId18" Type="http://schemas.openxmlformats.org/officeDocument/2006/relationships/image" Target="media/484d5d55d86913b83dbee261211eca5032552465.png"/><Relationship Id="rId19" Type="http://schemas.openxmlformats.org/officeDocument/2006/relationships/image" Target="media/85ef87aa62ce8b311109e3ea10e447d1b64aaa17.png"/><Relationship Id="rId20" Type="http://schemas.openxmlformats.org/officeDocument/2006/relationships/image" Target="media/40f36a25f52dab550ffafd1049f32014968d52cf.png"/><Relationship Id="rId21" Type="http://schemas.openxmlformats.org/officeDocument/2006/relationships/image" Target="media/6ebc01fde09bcae410d78b1f4c701b523fbbc753.png"/><Relationship Id="rId22" Type="http://schemas.openxmlformats.org/officeDocument/2006/relationships/image" Target="media/7050efb64f13bbc22338838b7d1ea7c86e89193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2026-08-28T02:15:20.858Z</dcterms:created>
  <dcterms:modified xsi:type="dcterms:W3CDTF">2026-08-28T02:15:20.872Z</dcterms:modified>
</cp:coreProperties>
</file>

<file path=docProps/custom.xml><?xml version="1.0" encoding="utf-8"?>
<Properties xmlns="http://schemas.openxmlformats.org/officeDocument/2006/custom-properties" xmlns:vt="http://schemas.openxmlformats.org/officeDocument/2006/docPropsVTypes"/>
</file>