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solvers for seismic wave propagation are limited by memory bandwidth rather than by arithmetic, so the number of bits used to store the wavefield sets how fast they run. This project asks whether microscaling, a block floating-point storage format from machine learning in which a group of values shares one exponent, carries the same benefit to seismic wave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and efficiency was estimated from memory traffic. At about fourteen bits per value microscaling reached a higher signal-to-noise ratio than half precision at sixteen bits, on both acoustic and elastic kernels, and the advantage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(Virieux and Operto, 2009),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carries a sign bit, an implicit integer bit, and a mantissa whose width is the parameter swept in the experiments. The cost per value is the mantissa width plus two,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comparison of Section 5.3 is reproduced separately in a self-contained stepper.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defined as minus twenty times the base-ten logarithm of that relative error. Higher is better and a tenfold reduction in error is twenty decibels. A reference point frames the scale: single precision itself departs from double precision by about 9x10^-4 on the full model, so a setting that reaches this level is as accurate as the precision in production use. The global ratio is dominated by the strong direct arrival; Section 5.5 introduces a reflection-only measure that removes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w:t>
      </w:r>
      <w:r>
        <w:rPr>
          <w:rFonts w:ascii="Calibri" w:cs="Calibri" w:eastAsia="Calibri" w:hAnsi="Calibri"/>
          <w:b/>
          <w:bCs/>
          <w:color w:val="111111"/>
          <w:sz w:val="21"/>
          <w:szCs w:val="21"/>
        </w:rPr>
        <w:t xml:space="preserve">Microscaling reaches 3.4x10^-3 error, or 49.5 dB, at 14.25 bits per value, against 6.1x10^-3, or 44.2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the same holds against bfloat16, whose wide exponent range is wasted on a field that needs precision, not range. The single global fixed-point scale of int16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91.6</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2.6x10^-5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44.2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24.2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49.5</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3.4x10^-3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59.8</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1.0x10^-3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Each scheme's receiver gather minus the full-precision reference, on one common amplitude scale with a time-scaling gain, so a larger residual means a worse scheme. bfloat16 leaves the most, microscaling the least.</w:t>
      </w:r>
    </w:p>
    <w:p>
      <w:pPr>
        <w:spacing w:after="60" w:before="60" w:line="300" w:lineRule="auto"/>
        <w:jc w:val="left"/>
      </w:pPr>
      <w:r>
        <w:rPr>
          <w:rFonts w:ascii="Calibri" w:cs="Calibri" w:eastAsia="Calibri" w:hAnsi="Calibri"/>
          <w:color w:val="111111"/>
          <w:sz w:val="21"/>
          <w:szCs w:val="21"/>
        </w:rPr>
        <w:t xml:space="preserve">Plotting the gathers themselves is uninformative, since at a usable setting microscaling and half precision both reproduce the record closely and the panels look alike, which is itself a statement that both are accurate. The residual against the reference separates them: on a common scale, with a time gain applied to lift the weak late arrivals, bfloat16 leaves a large residual across the record and microscaling the smallest, with half precision between. On the global record microscaling and half precision are close and both far ahead of bfloat16; the sharper separation between them appears on the reflection-only measure of Section 5.5.</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same closeness is visible in the wavefield itself, not only in the recorded traces.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w:t>
      </w:r>
      <w:r>
        <w:rPr>
          <w:rFonts w:ascii="Calibri" w:cs="Calibri" w:eastAsia="Calibri" w:hAnsi="Calibri"/>
          <w:b/>
          <w:bCs/>
          <w:color w:val="111111"/>
          <w:sz w:val="21"/>
          <w:szCs w:val="21"/>
        </w:rPr>
        <w:t xml:space="preserve">At 14.25 bits it gives 61 dB against 55 dB for the per-field scaled half precision at sixteen bits, and even at eleven mantissa bits, 13.25 bits per value, it holds 57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Scoring the reflections</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Global against reflection-only signal-to-noise ratio by bit width, the reflections isolated by subtracting a water model (Appendix B).</w:t>
      </w:r>
    </w:p>
    <w:p>
      <w:pPr>
        <w:spacing w:after="60" w:before="60" w:line="300" w:lineRule="auto"/>
        <w:jc w:val="left"/>
      </w:pPr>
      <w:r>
        <w:rPr>
          <w:rFonts w:ascii="Calibri" w:cs="Calibri" w:eastAsia="Calibri" w:hAnsi="Calibri"/>
          <w:color w:val="111111"/>
          <w:sz w:val="21"/>
          <w:szCs w:val="21"/>
        </w:rPr>
        <w:t xml:space="preserve">The global signal-to-noise ratio is flattered by the strong direct arrival, which travels through the near-surface water layer, never enters the geology, and is easy for any format to reproduce. To score the schemes on the energy the image is actually built from, a second model that is water everywhere at the surface velocity was run with the source, geometry and time-stepping held identical and only the velocity changed. With no contrasts it produces the direct arrival alone, and subtracting it isolates the reflections; the microscaling run is put through the water model too, so the arrival removed is the one it produced.</w:t>
      </w:r>
    </w:p>
    <w:p>
      <w:pPr>
        <w:spacing w:after="60" w:before="60" w:line="300" w:lineRule="auto"/>
        <w:jc w:val="left"/>
      </w:pPr>
      <w:r>
        <w:rPr>
          <w:rFonts w:ascii="Calibri" w:cs="Calibri" w:eastAsia="Calibri" w:hAnsi="Calibri"/>
          <w:b w:val="false"/>
          <w:bCs w:val="false"/>
          <w:color w:val="111111"/>
          <w:sz w:val="21"/>
          <w:szCs w:val="21"/>
        </w:rPr>
        <w:t xml:space="preserve">On this model the reflections carry about 45 percent of the record's energy. Scored on them alone the ratio is uniformly stricter: </w:t>
      </w:r>
      <w:r>
        <w:rPr>
          <w:rFonts w:ascii="Calibri" w:cs="Calibri" w:eastAsia="Calibri" w:hAnsi="Calibri"/>
          <w:b/>
          <w:bCs/>
          <w:color w:val="111111"/>
          <w:sz w:val="21"/>
          <w:szCs w:val="21"/>
        </w:rPr>
        <w:t xml:space="preserve">at twelve mantissa bits it is 41 dB against the 49 dB of the global measure, an eight-decibel drop that holds across bit widths</w:t>
      </w:r>
      <w:r>
        <w:rPr>
          <w:rFonts w:ascii="Calibri" w:cs="Calibri" w:eastAsia="Calibri" w:hAnsi="Calibri"/>
          <w:b w:val="false"/>
          <w:bCs w:val="false"/>
          <w:color w:val="111111"/>
          <w:sz w:val="21"/>
          <w:szCs w:val="21"/>
        </w:rPr>
        <w:t xml:space="preserve">. The ranking of the schemes is unchanged, so the reflection-only ratio is the honest figure to quote, and microscaling still clears a 40 dB target at twelve mantissa bits.</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color w:val="111111"/>
          <w:sz w:val="21"/>
          <w:szCs w:val="21"/>
        </w:rPr>
        <w:t xml:space="preserve">Several limitations bound these claims. The efficiency is modelled, not measured, because the format is emulated; the system-level speed-up is capped near twofold while the model arrays remain uncompressed; the quantiser is a simplified block floating-point rather than the exact OCP standard, so published guidance on safe bit widths would require that standard; and the study is two-dimensional and single-shot on cropped models. Two smaller observations remain open: stochastic rounding did not improve on round-to-nearest, contrary to results for the parabolic heat equation (Croci and Giles, 2023), and the effect of quantising less frequently has not been swept. The block-size anomaly, by contrast, is now explained as a shape effect.</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Microscaling block floating-point, applied as a storage layer to a finite-difference seismic solver, reaches a higher signal-to-noise ratio than half precision at fewer bits per stored value, on both the acoustic and elastic kernels, and the advantage survives when the direct arrival is removed and only the reflections are scored. The accuracy limit is set by error accumulation over time steps rather than by the format's single-frame error, and a square block is more accurate than the memory-ordered strip at the same cost. Taken together these establish microscaling storage as a practical means of reducing the memory traffic that governs solver speed.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and Figure A2 a shot record; Figure A3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048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1905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Full-precision shot record.</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A3.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shows the water-model subtraction that isolates the reflections scored in Section 5.5: the full record, the water model that carries only the direct arrival, and their time-scaled difference. Figure B3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Full record, water model (direct arrival only), and their time-scaled difference (the reflections).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B3.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 and hybrid</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Figure C2 combines half-precision arithmetic with microscaling storage; the errors do not compound, since the two act on different resources, and the hybrid sits near the half-precision floor.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C2. Half-precision arithmetic combined with microscaling storage.</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54.9</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1.8x10^-3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55.2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1.7x10^-3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53.6</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57.5</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8.7x10^-4</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76.9</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d2cca24a3ca409e2a695fe81851e03083c5b12.png"/><Relationship Id="rId10" Type="http://schemas.openxmlformats.org/officeDocument/2006/relationships/image" Target="media/09f0451ae892a6a7256b3060ff2e404213576b70.png"/><Relationship Id="rId11" Type="http://schemas.openxmlformats.org/officeDocument/2006/relationships/image" Target="media/553eff9e420711ca504c1951381919e64ffb6296.png"/><Relationship Id="rId12" Type="http://schemas.openxmlformats.org/officeDocument/2006/relationships/image" Target="media/e54040a3a6099ac58816d69f6bab60209b9af828.png"/><Relationship Id="rId13" Type="http://schemas.openxmlformats.org/officeDocument/2006/relationships/image" Target="media/875fe8f6c26c87a2845191773f9bf93ef26aa22b.png"/><Relationship Id="rId14" Type="http://schemas.openxmlformats.org/officeDocument/2006/relationships/image" Target="media/dcae104de4f8772bee60fc0ae5c21b6adacbdf6d.png"/><Relationship Id="rId15" Type="http://schemas.openxmlformats.org/officeDocument/2006/relationships/image" Target="media/4863b7d6e4cab7f80615372825af1049520ef3d8.png"/><Relationship Id="rId16" Type="http://schemas.openxmlformats.org/officeDocument/2006/relationships/image" Target="media/a19efc8aaa48ddca6379f9b4cb81326098bd7a06.png"/><Relationship Id="rId17" Type="http://schemas.openxmlformats.org/officeDocument/2006/relationships/image" Target="media/484d5d55d86913b83dbee261211eca5032552465.png"/><Relationship Id="rId18" Type="http://schemas.openxmlformats.org/officeDocument/2006/relationships/image" Target="media/2701a72f7ae390f122c26ed485f724b760a834b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e2fe0a59d0f0e66a7c232766acf4a6d9bedcb136.png"/><Relationship Id="rId22" Type="http://schemas.openxmlformats.org/officeDocument/2006/relationships/image" Target="media/6ebc01fde09bcae410d78b1f4c701b523fbbc753.png"/><Relationship Id="rId23" Type="http://schemas.openxmlformats.org/officeDocument/2006/relationships/image" Target="media/7050efb64f13bbc22338838b7d1ea7c86e891935.png"/><Relationship Id="rId24" Type="http://schemas.openxmlformats.org/officeDocument/2006/relationships/image" Target="media/e3f6e737891f2ec3cc3960e0f58dc40ee6b6697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2026-08-27T08:05:40.941Z</dcterms:created>
  <dcterms:modified xsi:type="dcterms:W3CDTF">2026-08-27T08:05:40.951Z</dcterms:modified>
</cp:coreProperties>
</file>

<file path=docProps/custom.xml><?xml version="1.0" encoding="utf-8"?>
<Properties xmlns="http://schemas.openxmlformats.org/officeDocument/2006/custom-properties" xmlns:vt="http://schemas.openxmlformats.org/officeDocument/2006/docPropsVTypes"/>
</file>