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20" w:before="300"/>
      </w:pPr>
      <w:r>
        <w:rPr>
          <w:rFonts w:ascii="Calibri" w:cs="Calibri" w:eastAsia="Calibri" w:hAnsi="Calibri"/>
          <w:b/>
          <w:bCs/>
          <w:color w:val="1F3864"/>
          <w:sz w:val="26"/>
          <w:szCs w:val="26"/>
        </w:rPr>
        <w:t xml:space="preserve">Abstract</w:t>
      </w:r>
    </w:p>
    <w:p>
      <w:pPr>
        <w:spacing w:after="60" w:before="60" w:line="300" w:lineRule="auto"/>
        <w:jc w:val="left"/>
      </w:pPr>
      <w:r>
        <w:rPr>
          <w:rFonts w:ascii="Calibri" w:cs="Calibri" w:eastAsia="Calibri" w:hAnsi="Calibri"/>
          <w:color w:val="111111"/>
          <w:sz w:val="21"/>
          <w:szCs w:val="21"/>
        </w:rPr>
        <w:t xml:space="preserve">Finite-difference seismic solvers are limited by memory bandwidth rather than arithmetic, so the number of bits used to store the wavefield sets how fast they run. This project asks whether microscaling, a block floating-point storage format from machine learning in which a group of values shares one exponent, carries the same benefit to seismic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time-scaled to weight the arrivals evenly, and efficiency was estimated from memory traffic. At about fourteen bits per value microscaling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20" w:before="300"/>
      </w:pPr>
      <w:r>
        <w:rPr>
          <w:rFonts w:ascii="Calibri" w:cs="Calibri" w:eastAsia="Calibri" w:hAnsi="Calibri"/>
          <w:b/>
          <w:bCs/>
          <w:color w:val="1F3864"/>
          <w:sz w:val="26"/>
          <w:szCs w:val="26"/>
        </w:rPr>
        <w:t xml:space="preserve">1  Introduction</w:t>
      </w:r>
    </w:p>
    <w:p>
      <w:pPr>
        <w:spacing w:after="60" w:before="60" w:line="300" w:lineRule="auto"/>
        <w:jc w:val="left"/>
      </w:pPr>
      <w:r>
        <w:rPr>
          <w:rFonts w:ascii="Calibri" w:cs="Calibri" w:eastAsia="Calibri" w:hAnsi="Calibri"/>
          <w:color w:val="111111"/>
          <w:sz w:val="21"/>
          <w:szCs w:val="21"/>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60" w:before="60" w:line="300" w:lineRule="auto"/>
        <w:jc w:val="left"/>
      </w:pPr>
      <w:r>
        <w:rPr>
          <w:rFonts w:ascii="Calibri" w:cs="Calibri" w:eastAsia="Calibri" w:hAnsi="Calibri"/>
          <w:color w:val="111111"/>
          <w:sz w:val="21"/>
          <w:szCs w:val="21"/>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60" w:before="60" w:line="300" w:lineRule="auto"/>
        <w:jc w:val="left"/>
      </w:pPr>
      <w:r>
        <w:rPr>
          <w:rFonts w:ascii="Calibri" w:cs="Calibri" w:eastAsia="Calibri" w:hAnsi="Calibri"/>
          <w:color w:val="111111"/>
          <w:sz w:val="21"/>
          <w:szCs w:val="21"/>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60" w:before="60" w:line="300" w:lineRule="auto"/>
        <w:jc w:val="left"/>
      </w:pPr>
      <w:r>
        <w:rPr>
          <w:rFonts w:ascii="Calibri" w:cs="Calibri" w:eastAsia="Calibri" w:hAnsi="Calibri"/>
          <w:color w:val="111111"/>
          <w:sz w:val="21"/>
          <w:szCs w:val="21"/>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20" w:before="300"/>
      </w:pPr>
      <w:r>
        <w:rPr>
          <w:rFonts w:ascii="Calibri" w:cs="Calibri" w:eastAsia="Calibri" w:hAnsi="Calibri"/>
          <w:b/>
          <w:bCs/>
          <w:color w:val="1F3864"/>
          <w:sz w:val="26"/>
          <w:szCs w:val="26"/>
        </w:rPr>
        <w:t xml:space="preserve">2  Background and contribution</w:t>
      </w:r>
    </w:p>
    <w:p>
      <w:pPr>
        <w:spacing w:after="60" w:before="60" w:line="300" w:lineRule="auto"/>
        <w:jc w:val="left"/>
      </w:pPr>
      <w:r>
        <w:rPr>
          <w:rFonts w:ascii="Calibri" w:cs="Calibri" w:eastAsia="Calibri" w:hAnsi="Calibri"/>
          <w:color w:val="111111"/>
          <w:sz w:val="21"/>
          <w:szCs w:val="21"/>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60" w:before="60" w:line="300" w:lineRule="auto"/>
        <w:jc w:val="left"/>
      </w:pPr>
      <w:r>
        <w:rPr>
          <w:rFonts w:ascii="Calibri" w:cs="Calibri" w:eastAsia="Calibri" w:hAnsi="Calibri"/>
          <w:color w:val="111111"/>
          <w:sz w:val="21"/>
          <w:szCs w:val="21"/>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60" w:before="60" w:line="300" w:lineRule="auto"/>
        <w:jc w:val="left"/>
      </w:pPr>
      <w:r>
        <w:rPr>
          <w:rFonts w:ascii="Calibri" w:cs="Calibri" w:eastAsia="Calibri" w:hAnsi="Calibri"/>
          <w:color w:val="111111"/>
          <w:sz w:val="21"/>
          <w:szCs w:val="21"/>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20" w:before="300"/>
      </w:pPr>
      <w:r>
        <w:rPr>
          <w:rFonts w:ascii="Calibri" w:cs="Calibri" w:eastAsia="Calibri" w:hAnsi="Calibri"/>
          <w:b/>
          <w:bCs/>
          <w:color w:val="1F3864"/>
          <w:sz w:val="26"/>
          <w:szCs w:val="26"/>
        </w:rPr>
        <w:t xml:space="preserve">3  Objectives</w:t>
      </w:r>
    </w:p>
    <w:p>
      <w:pPr>
        <w:spacing w:after="60" w:before="60" w:line="300" w:lineRule="auto"/>
        <w:jc w:val="left"/>
      </w:pPr>
      <w:r>
        <w:rPr>
          <w:rFonts w:ascii="Calibri" w:cs="Calibri" w:eastAsia="Calibri" w:hAnsi="Calibri"/>
          <w:color w:val="111111"/>
          <w:sz w:val="21"/>
          <w:szCs w:val="21"/>
        </w:rPr>
        <w:t xml:space="preserve">The project set out to answer four measurable questions:</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40" w:before="40" w:line="295" w:lineRule="auto"/>
      </w:pPr>
      <w:r>
        <w:rPr>
          <w:rFonts w:ascii="Calibri" w:cs="Calibri" w:eastAsia="Calibri" w:hAnsi="Calibri"/>
          <w:color w:val="111111"/>
          <w:sz w:val="21"/>
          <w:szCs w:val="21"/>
        </w:rPr>
        <w:t xml:space="preserve">Whether that advantage survives a stricter, reflection-only accuracy measure that excludes the strong direct arrival.</w:t>
      </w:r>
    </w:p>
    <w:p>
      <w:pPr>
        <w:pStyle w:val="ListParagraph"/>
        <w:numPr>
          <w:ilvl w:val="0"/>
          <w:numId w:val="2"/>
        </w:numPr>
        <w:spacing w:after="40" w:before="40" w:line="295" w:lineRule="auto"/>
      </w:pPr>
      <w:r>
        <w:rPr>
          <w:rFonts w:ascii="Calibri" w:cs="Calibri" w:eastAsia="Calibri" w:hAnsi="Calibri"/>
          <w:color w:val="111111"/>
          <w:sz w:val="21"/>
          <w:szCs w:val="21"/>
        </w:rPr>
        <w:t xml:space="preserve">What sets the accuracy limit, distinguishing the error made by the format on a single frame from the error accumulated over a full solve.</w:t>
      </w:r>
    </w:p>
    <w:p>
      <w:pPr>
        <w:pStyle w:val="ListParagraph"/>
        <w:numPr>
          <w:ilvl w:val="0"/>
          <w:numId w:val="2"/>
        </w:numPr>
        <w:spacing w:after="40" w:before="40" w:line="295" w:lineRule="auto"/>
      </w:pPr>
      <w:r>
        <w:rPr>
          <w:rFonts w:ascii="Calibri" w:cs="Calibri" w:eastAsia="Calibri" w:hAnsi="Calibri"/>
          <w:color w:val="111111"/>
          <w:sz w:val="21"/>
          <w:szCs w:val="21"/>
        </w:rPr>
        <w:t xml:space="preserve">How the shape of the block, at fixed size and bit cost, affects accuracy, and whether it affects the cost of packing and unpacking.</w:t>
      </w:r>
    </w:p>
    <w:p>
      <w:pPr>
        <w:pStyle w:val="Heading1"/>
        <w:spacing w:after="120" w:before="300"/>
      </w:pPr>
      <w:r>
        <w:rPr>
          <w:rFonts w:ascii="Calibri" w:cs="Calibri" w:eastAsia="Calibri" w:hAnsi="Calibri"/>
          <w:b/>
          <w:bCs/>
          <w:color w:val="1F3864"/>
          <w:sz w:val="26"/>
          <w:szCs w:val="26"/>
        </w:rPr>
        <w:t xml:space="preserve">4  Methods</w:t>
      </w:r>
    </w:p>
    <w:p>
      <w:pPr>
        <w:pStyle w:val="Heading2"/>
        <w:spacing w:after="80" w:before="200"/>
      </w:pPr>
      <w:r>
        <w:rPr>
          <w:rFonts w:ascii="Calibri" w:cs="Calibri" w:eastAsia="Calibri" w:hAnsi="Calibri"/>
          <w:b/>
          <w:bCs/>
          <w:color w:val="1F3864"/>
          <w:sz w:val="22"/>
          <w:szCs w:val="22"/>
        </w:rPr>
        <w:t xml:space="preserve">4.1  Storage format</w:t>
      </w:r>
    </w:p>
    <w:p>
      <w:pPr>
        <w:spacing w:after="60" w:before="60" w:line="300" w:lineRule="auto"/>
        <w:jc w:val="left"/>
      </w:pPr>
      <w:r>
        <w:rPr>
          <w:rFonts w:ascii="Calibri" w:cs="Calibri" w:eastAsia="Calibri" w:hAnsi="Calibri"/>
          <w:color w:val="111111"/>
          <w:sz w:val="21"/>
          <w:szCs w:val="21"/>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carries a sign bit, an implicit integer bit, and a mantissa whose width is the parameter swept in the experiments. The cost per value is the mantissa width plus two,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which assigns each element its own micro-exponent; the distinction is returned to in the discussion.</w:t>
      </w:r>
    </w:p>
    <w:p>
      <w:pPr>
        <w:spacing w:after="60" w:before="60" w:line="300" w:lineRule="auto"/>
        <w:jc w:val="left"/>
      </w:pPr>
      <w:r>
        <w:rPr>
          <w:rFonts w:ascii="Calibri" w:cs="Calibri" w:eastAsia="Calibri" w:hAnsi="Calibri"/>
          <w:color w:val="111111"/>
          <w:sz w:val="21"/>
          <w:szCs w:val="21"/>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80" w:before="200"/>
      </w:pPr>
      <w:r>
        <w:rPr>
          <w:rFonts w:ascii="Calibri" w:cs="Calibri" w:eastAsia="Calibri" w:hAnsi="Calibri"/>
          <w:b/>
          <w:bCs/>
          <w:color w:val="1F3864"/>
          <w:sz w:val="22"/>
          <w:szCs w:val="22"/>
        </w:rPr>
        <w:t xml:space="preserve">4.2  Model and solver</w:t>
      </w:r>
    </w:p>
    <w:p>
      <w:pPr>
        <w:spacing w:after="60" w:before="60" w:line="300" w:lineRule="auto"/>
        <w:jc w:val="left"/>
      </w:pPr>
      <w:r>
        <w:rPr>
          <w:rFonts w:ascii="Calibri" w:cs="Calibri" w:eastAsia="Calibri" w:hAnsi="Calibri"/>
          <w:color w:val="111111"/>
          <w:sz w:val="21"/>
          <w:szCs w:val="21"/>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the model, which shortens each run and allows the many repetitions the sweeps require.</w:t>
      </w:r>
    </w:p>
    <w:p>
      <w:pPr>
        <w:pStyle w:val="Heading2"/>
        <w:spacing w:after="80" w:before="200"/>
      </w:pPr>
      <w:r>
        <w:rPr>
          <w:rFonts w:ascii="Calibri" w:cs="Calibri" w:eastAsia="Calibri" w:hAnsi="Calibri"/>
          <w:b/>
          <w:bCs/>
          <w:color w:val="1F3864"/>
          <w:sz w:val="22"/>
          <w:szCs w:val="22"/>
        </w:rPr>
        <w:t xml:space="preserve">4.3  Accuracy and efficiency metrics</w:t>
      </w:r>
    </w:p>
    <w:p>
      <w:pPr>
        <w:spacing w:after="60" w:before="60" w:line="300" w:lineRule="auto"/>
        <w:jc w:val="left"/>
      </w:pPr>
      <w:r>
        <w:rPr>
          <w:rFonts w:ascii="Calibri" w:cs="Calibri" w:eastAsia="Calibri" w:hAnsi="Calibri"/>
          <w:color w:val="111111"/>
          <w:sz w:val="21"/>
          <w:szCs w:val="21"/>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the strong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favouring its strongest part. Every signal-to-noise figure quoted below is this time-scaled measure.</w:t>
      </w:r>
    </w:p>
    <w:p>
      <w:pPr>
        <w:spacing w:after="60" w:before="60" w:line="300" w:lineRule="auto"/>
        <w:jc w:val="left"/>
      </w:pPr>
      <w:r>
        <w:rPr>
          <w:rFonts w:ascii="Calibri" w:cs="Calibri" w:eastAsia="Calibri" w:hAnsi="Calibri"/>
          <w:color w:val="111111"/>
          <w:sz w:val="21"/>
          <w:szCs w:val="21"/>
        </w:rPr>
        <w:t xml:space="preserve">A reference point frames the scale: single precision itself departs from double precision by about 9x10^-4 on the full model. Section 5.5 reports a complementary measure that removes the direct arrival outright with a water model, rather than down-weighting it.</w:t>
      </w:r>
    </w:p>
    <w:p>
      <w:pPr>
        <w:spacing w:after="60" w:before="60" w:line="300" w:lineRule="auto"/>
        <w:jc w:val="left"/>
      </w:pPr>
      <w:r>
        <w:rPr>
          <w:rFonts w:ascii="Calibri" w:cs="Calibri" w:eastAsia="Calibri" w:hAnsi="Calibri"/>
          <w:color w:val="111111"/>
          <w:sz w:val="21"/>
          <w:szCs w:val="21"/>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60" w:before="60" w:line="300" w:lineRule="auto"/>
        <w:jc w:val="left"/>
      </w:pPr>
      <w:r>
        <w:rPr>
          <w:rFonts w:ascii="Calibri" w:cs="Calibri" w:eastAsia="Calibri" w:hAnsi="Calibri"/>
          <w:color w:val="111111"/>
          <w:sz w:val="21"/>
          <w:szCs w:val="21"/>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20" w:before="300"/>
      </w:pPr>
      <w:r>
        <w:rPr>
          <w:rFonts w:ascii="Calibri" w:cs="Calibri" w:eastAsia="Calibri" w:hAnsi="Calibri"/>
          <w:b/>
          <w:bCs/>
          <w:color w:val="1F3864"/>
          <w:sz w:val="26"/>
          <w:szCs w:val="26"/>
        </w:rPr>
        <w:t xml:space="preserve">5  Results</w:t>
      </w:r>
    </w:p>
    <w:p>
      <w:pPr>
        <w:pStyle w:val="Heading2"/>
        <w:spacing w:after="80" w:before="200"/>
      </w:pPr>
      <w:r>
        <w:rPr>
          <w:rFonts w:ascii="Calibri" w:cs="Calibri" w:eastAsia="Calibri" w:hAnsi="Calibri"/>
          <w:b/>
          <w:bCs/>
          <w:color w:val="1F3864"/>
          <w:sz w:val="22"/>
          <w:szCs w:val="22"/>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1. Cost against accuracy for every scheme on the cropped Marmousi acoustic model. Lower and further left is better;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Every format was reimplemented in one harness and run on the same model with the same metric, so the comparison does not rest on numbers drawn from different studies. </w:t>
      </w:r>
      <w:r>
        <w:rPr>
          <w:rFonts w:ascii="Calibri" w:cs="Calibri" w:eastAsia="Calibri" w:hAnsi="Calibri"/>
          <w:b/>
          <w:bCs/>
          <w:color w:val="111111"/>
          <w:sz w:val="21"/>
          <w:szCs w:val="21"/>
        </w:rPr>
        <w:t xml:space="preserve">Microscaling reaches 4.1x10^-3 error, or 47.8 dB, at 14.25 bits per value, against 8.2x10^-3, or 41.7 dB, for half precision with scaling at sixteen bits (Table 1).</w:t>
      </w:r>
      <w:r>
        <w:rPr>
          <w:rFonts w:ascii="Calibri" w:cs="Calibri" w:eastAsia="Calibri" w:hAnsi="Calibri"/>
          <w:b w:val="false"/>
          <w:bCs w:val="false"/>
          <w:color w:val="111111"/>
          <w:sz w:val="21"/>
          <w:szCs w:val="21"/>
        </w:rPr>
        <w:t xml:space="preserve"> It is more accurate while storing fewer bits, and by a wider margin than a plain error would suggest, because the time-scaled metric rewards the weak late arrivals that microscaling preserves better than the alternatives. The same holds against bfloat16, whose wide exponent range is wasted on a field that needs precision, not range, and against int16, whose single global fixed-point scale does worse still, for reasons taken up in the discussion.</w:t>
      </w:r>
    </w:p>
    <w:p>
      <w:pPr>
        <w:spacing w:after="50" w:before="90"/>
      </w:pPr>
      <w:r>
        <w:rPr>
          <w:rFonts w:ascii="Calibri" w:cs="Calibri" w:eastAsia="Calibri" w:hAnsi="Calibri"/>
          <w:i/>
          <w:iCs/>
          <w:color w:val="595959"/>
          <w:sz w:val="17"/>
          <w:szCs w:val="17"/>
        </w:rPr>
        <w:t xml:space="preserve">Table 1. Accuracy and cost on the acoustic kernel; the time-scaled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87.7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41.7</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8.2x10^-3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37.2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1.4x10^-2</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21.6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8.3x10^-2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47.8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56.1</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2. Time-scaled differences, two ways. (a) Each scheme's receiver gather minus the full-precision reference, on one common scale, so a larger residual is a worse scheme: bfloat16 leaves the most, microscaling the least. (b) The full record, the water model that carries only the direct arrival, and their difference, which is the reflections: the weak energy that the time gain in (a) brings out and that Section 5.5 scores directly.</w:t>
      </w:r>
    </w:p>
    <w:p>
      <w:pPr>
        <w:spacing w:after="60" w:before="60" w:line="300" w:lineRule="auto"/>
        <w:jc w:val="left"/>
      </w:pPr>
      <w:r>
        <w:rPr>
          <w:rFonts w:ascii="Calibri" w:cs="Calibri" w:eastAsia="Calibri" w:hAnsi="Calibri"/>
          <w:color w:val="111111"/>
          <w:sz w:val="21"/>
          <w:szCs w:val="21"/>
        </w:rPr>
        <w:t xml:space="preserve">Plotting the gathers directly is uninformative, since at a usable setting microscaling and half precision both reproduce the record closely and the panels look alike, which is itself a statement that both are accurate. Figure 2(a) plots the residual against the reference instead, with a linear time gain applied to lift the weak late arrivals: bfloat16 leaves a large residual across the record and microscaling the smallest, with half precision between. Figure 2(b) shows why the late arrivals matter and how they are isolated, by subtracting a water model that carries only the direct arrival; what remains is the reflected energy, and it is on this energy that the time-scaled metric puts most of its weight.</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3. The reference wavefield and the microscaling wavefield with their difference, at fourteen and ten mantissa bits, each difference shown on its own finer scale.</w:t>
      </w:r>
    </w:p>
    <w:p>
      <w:pPr>
        <w:spacing w:after="60" w:before="60" w:line="300" w:lineRule="auto"/>
        <w:jc w:val="left"/>
      </w:pPr>
      <w:r>
        <w:rPr>
          <w:rFonts w:ascii="Calibri" w:cs="Calibri" w:eastAsia="Calibri" w:hAnsi="Calibri"/>
          <w:b w:val="false"/>
          <w:bCs w:val="false"/>
          <w:color w:val="111111"/>
          <w:sz w:val="21"/>
          <w:szCs w:val="21"/>
        </w:rPr>
        <w:t xml:space="preserve">The closeness is visible in the wavefield itself, not only in the recorded traces. </w:t>
      </w:r>
      <w:r>
        <w:rPr>
          <w:rFonts w:ascii="Calibri" w:cs="Calibri" w:eastAsia="Calibri" w:hAnsi="Calibri"/>
          <w:b/>
          <w:bCs/>
          <w:color w:val="111111"/>
          <w:sz w:val="21"/>
          <w:szCs w:val="21"/>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1"/>
          <w:szCs w:val="21"/>
        </w:rPr>
        <w:t xml:space="preserve">. This confirms that the format preserves the propagating field, and not merely the receiver record, which is what makes it usable as an in-place storage layer.</w:t>
      </w:r>
    </w:p>
    <w:p>
      <w:pPr>
        <w:pStyle w:val="Heading2"/>
        <w:spacing w:after="80" w:before="200"/>
      </w:pPr>
      <w:r>
        <w:rPr>
          <w:rFonts w:ascii="Calibri" w:cs="Calibri" w:eastAsia="Calibri" w:hAnsi="Calibri"/>
          <w:b/>
          <w:bCs/>
          <w:color w:val="1F3864"/>
          <w:sz w:val="22"/>
          <w:szCs w:val="22"/>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42887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4. Predicted speed-up against error, for the whole solver's memory traffic (all arrays, system level). The dotted line marks the ceiling reachable if the static model arrays were also compressed.</w:t>
      </w:r>
    </w:p>
    <w:p>
      <w:pPr>
        <w:spacing w:after="60" w:before="60" w:line="300" w:lineRule="auto"/>
        <w:jc w:val="left"/>
      </w:pPr>
      <w:r>
        <w:rPr>
          <w:rFonts w:ascii="Calibri" w:cs="Calibri" w:eastAsia="Calibri" w:hAnsi="Calibri"/>
          <w:b w:val="false"/>
          <w:bCs w:val="false"/>
          <w:color w:val="111111"/>
          <w:sz w:val="21"/>
          <w:szCs w:val="21"/>
        </w:rPr>
        <w:t xml:space="preserve">At matched accuracy the bandwidth model gives microscaling a predicted speed-up of about 1.6 times, against 1.5 for half precision. </w:t>
      </w:r>
      <w:r>
        <w:rPr>
          <w:rFonts w:ascii="Calibri" w:cs="Calibri" w:eastAsia="Calibri" w:hAnsi="Calibri"/>
          <w:b/>
          <w:bCs/>
          <w:color w:val="111111"/>
          <w:sz w:val="21"/>
          <w:szCs w:val="21"/>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1"/>
          <w:szCs w:val="21"/>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80" w:before="200"/>
      </w:pPr>
      <w:r>
        <w:rPr>
          <w:rFonts w:ascii="Calibri" w:cs="Calibri" w:eastAsia="Calibri" w:hAnsi="Calibri"/>
          <w:b/>
          <w:bCs/>
          <w:color w:val="1F3864"/>
          <w:sz w:val="22"/>
          <w:szCs w:val="22"/>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57625" cy="24955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5. Elastic kernel, per-field storage accuracy: microscaling against a per-field half-precision scaling, same model and metric. The right axis is the time-scaled signal-to-noise ratio in decibels.</w:t>
      </w:r>
    </w:p>
    <w:p>
      <w:pPr>
        <w:spacing w:after="60" w:before="60" w:line="300" w:lineRule="auto"/>
        <w:jc w:val="left"/>
      </w:pPr>
      <w:r>
        <w:rPr>
          <w:rFonts w:ascii="Calibri" w:cs="Calibri" w:eastAsia="Calibri" w:hAnsi="Calibri"/>
          <w:b w:val="false"/>
          <w:bCs w:val="false"/>
          <w:color w:val="111111"/>
          <w:sz w:val="21"/>
          <w:szCs w:val="21"/>
        </w:rPr>
        <w:t xml:space="preserve">On the elastic kernel, the setting half-precision scaling was designed for, microscaling again reaches better accuracy at fewer bits. </w:t>
      </w:r>
      <w:r>
        <w:rPr>
          <w:rFonts w:ascii="Calibri" w:cs="Calibri" w:eastAsia="Calibri" w:hAnsi="Calibri"/>
          <w:b/>
          <w:bCs/>
          <w:color w:val="111111"/>
          <w:sz w:val="21"/>
          <w:szCs w:val="21"/>
        </w:rPr>
        <w:t xml:space="preserve">At 14.25 bits it gives 47 dB against 41 dB for the per-field scaled half precision at sixteen bits, and even at eleven mantissa bits, 13.25 bits per value, it holds 44 dB, above the half-precision point while spending nearly three bits per value less.</w:t>
      </w:r>
      <w:r>
        <w:rPr>
          <w:rFonts w:ascii="Calibri" w:cs="Calibri" w:eastAsia="Calibri" w:hAnsi="Calibri"/>
          <w:b w:val="false"/>
          <w:bCs w:val="false"/>
          <w:color w:val="111111"/>
          <w:sz w:val="21"/>
          <w:szCs w:val="21"/>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80" w:before="200"/>
      </w:pPr>
      <w:r>
        <w:rPr>
          <w:rFonts w:ascii="Calibri" w:cs="Calibri" w:eastAsia="Calibri" w:hAnsi="Calibri"/>
          <w:b/>
          <w:bCs/>
          <w:color w:val="1F3864"/>
          <w:sz w:val="22"/>
          <w:szCs w:val="22"/>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6. Single-frame error, from compressing and decompressing once, against the error accumulated over the full solve, in decibels. The gap is the amplification propagation adds.</w:t>
      </w:r>
    </w:p>
    <w:p>
      <w:pPr>
        <w:spacing w:after="60" w:before="60" w:line="300" w:lineRule="auto"/>
        <w:jc w:val="left"/>
      </w:pPr>
      <w:r>
        <w:rPr>
          <w:rFonts w:ascii="Calibri" w:cs="Calibri" w:eastAsia="Calibri" w:hAnsi="Calibri"/>
          <w:b/>
          <w:bCs/>
          <w:color w:val="111111"/>
          <w:sz w:val="21"/>
          <w:szCs w:val="21"/>
        </w:rPr>
        <w:t xml:space="preserve">The accuracy limit is not set by the format's error on any one frame. </w:t>
      </w:r>
      <w:r>
        <w:rPr>
          <w:rFonts w:ascii="Calibri" w:cs="Calibri" w:eastAsia="Calibri" w:hAnsi="Calibri"/>
          <w:b w:val="false"/>
          <w:bCs w:val="false"/>
          <w:color w:val="111111"/>
          <w:sz w:val="21"/>
          <w:szCs w:val="21"/>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1"/>
          <w:szCs w:val="21"/>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80" w:before="200"/>
      </w:pPr>
      <w:r>
        <w:rPr>
          <w:rFonts w:ascii="Calibri" w:cs="Calibri" w:eastAsia="Calibri" w:hAnsi="Calibri"/>
          <w:b/>
          <w:bCs/>
          <w:color w:val="1F3864"/>
          <w:sz w:val="22"/>
          <w:szCs w:val="22"/>
        </w:rPr>
        <w:t xml:space="preserve">5.5  Scoring the reflections directly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2860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7. Time-scaled whole-record against reflection-only signal-to-noise ratio by bit width. The reflections are isolated by subtracting a water model that carries only the direct arrival (Figure 2b).</w:t>
      </w:r>
    </w:p>
    <w:p>
      <w:pPr>
        <w:spacing w:after="60" w:before="60" w:line="300" w:lineRule="auto"/>
        <w:jc w:val="left"/>
      </w:pPr>
      <w:r>
        <w:rPr>
          <w:rFonts w:ascii="Calibri" w:cs="Calibri" w:eastAsia="Calibri" w:hAnsi="Calibri"/>
          <w:color w:val="111111"/>
          <w:sz w:val="21"/>
          <w:szCs w:val="21"/>
        </w:rPr>
        <w:t xml:space="preserve">Time-scaling weights the arrivals evenly but does not remove the direct arrival, which any format reproduces easily. A stricter measure scores the reflections alone, isolated with a water model: a second model that is water everywhere at the surface velocity, run with the source, geometry and time-stepping held identical and only the velocity changed, produces the direct arrival by itself, and subtracting it leaves the reflections. The microscaling run is put through the water model as well, so the arrival removed is the one it produced.</w:t>
      </w:r>
    </w:p>
    <w:p>
      <w:pPr>
        <w:spacing w:after="60" w:before="60" w:line="300" w:lineRule="auto"/>
        <w:jc w:val="left"/>
      </w:pPr>
      <w:r>
        <w:rPr>
          <w:rFonts w:ascii="Calibri" w:cs="Calibri" w:eastAsia="Calibri" w:hAnsi="Calibri"/>
          <w:b w:val="false"/>
          <w:bCs w:val="false"/>
          <w:color w:val="111111"/>
          <w:sz w:val="21"/>
          <w:szCs w:val="21"/>
        </w:rPr>
        <w:t xml:space="preserve">The reflections carry about 45 percent of the record's energy. </w:t>
      </w:r>
      <w:r>
        <w:rPr>
          <w:rFonts w:ascii="Calibri" w:cs="Calibri" w:eastAsia="Calibri" w:hAnsi="Calibri"/>
          <w:b/>
          <w:bCs/>
          <w:color w:val="111111"/>
          <w:sz w:val="21"/>
          <w:szCs w:val="21"/>
        </w:rPr>
        <w:t xml:space="preserve">Scored on them alone, microscaling reaches 43 dB at twelve mantissa bits, about five decibels below its whole-record figure of 48 dB but still clear of a 40 dB target, and the gap holds across bit widths with the ranking of the schemes unchanged</w:t>
      </w:r>
      <w:r>
        <w:rPr>
          <w:rFonts w:ascii="Calibri" w:cs="Calibri" w:eastAsia="Calibri" w:hAnsi="Calibri"/>
          <w:b w:val="false"/>
          <w:bCs w:val="false"/>
          <w:color w:val="111111"/>
          <w:sz w:val="21"/>
          <w:szCs w:val="21"/>
        </w:rPr>
        <w:t xml:space="preserve">. Its advantage therefore does not rest on the strong direct arrival, but holds on the weak reflected energy the image is built from.</w:t>
      </w:r>
    </w:p>
    <w:p>
      <w:pPr>
        <w:pStyle w:val="Heading2"/>
        <w:spacing w:after="80" w:before="200"/>
      </w:pPr>
      <w:r>
        <w:rPr>
          <w:rFonts w:ascii="Calibri" w:cs="Calibri" w:eastAsia="Calibri" w:hAnsi="Calibri"/>
          <w:b/>
          <w:bCs/>
          <w:color w:val="1F3864"/>
          <w:sz w:val="22"/>
          <w:szCs w:val="22"/>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171450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8. Accuracy (left) and pack-and-unpack time (right) against block shape, at fixed size and bit cost. Aspect ratio one is a square block, higher is more strip-like.</w:t>
      </w:r>
    </w:p>
    <w:p>
      <w:pPr>
        <w:spacing w:after="60" w:before="60" w:line="300" w:lineRule="auto"/>
        <w:jc w:val="left"/>
      </w:pPr>
      <w:r>
        <w:rPr>
          <w:rFonts w:ascii="Calibri" w:cs="Calibri" w:eastAsia="Calibri" w:hAnsi="Calibri"/>
          <w:b/>
          <w:bCs/>
          <w:color w:val="111111"/>
          <w:sz w:val="21"/>
          <w:szCs w:val="21"/>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1"/>
          <w:szCs w:val="21"/>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1"/>
          <w:szCs w:val="21"/>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20" w:before="300"/>
      </w:pPr>
      <w:r>
        <w:rPr>
          <w:rFonts w:ascii="Calibri" w:cs="Calibri" w:eastAsia="Calibri" w:hAnsi="Calibri"/>
          <w:b/>
          <w:bCs/>
          <w:color w:val="1F3864"/>
          <w:sz w:val="26"/>
          <w:szCs w:val="26"/>
        </w:rPr>
        <w:t xml:space="preserve">6  Discussion</w:t>
      </w:r>
    </w:p>
    <w:p>
      <w:pPr>
        <w:spacing w:after="60" w:before="60" w:line="300" w:lineRule="auto"/>
        <w:jc w:val="left"/>
      </w:pPr>
      <w:r>
        <w:rPr>
          <w:rFonts w:ascii="Calibri" w:cs="Calibri" w:eastAsia="Calibri" w:hAnsi="Calibri"/>
          <w:color w:val="111111"/>
          <w:sz w:val="21"/>
          <w:szCs w:val="21"/>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60" w:before="60" w:line="300" w:lineRule="auto"/>
        <w:jc w:val="left"/>
      </w:pPr>
      <w:r>
        <w:rPr>
          <w:rFonts w:ascii="Calibri" w:cs="Calibri" w:eastAsia="Calibri" w:hAnsi="Calibri"/>
          <w:b/>
          <w:bCs/>
          <w:color w:val="111111"/>
          <w:sz w:val="21"/>
          <w:szCs w:val="21"/>
        </w:rPr>
        <w:t xml:space="preserve">The limitations fall into two kinds. </w:t>
      </w:r>
      <w:r>
        <w:rPr>
          <w:rFonts w:ascii="Calibri" w:cs="Calibri" w:eastAsia="Calibri" w:hAnsi="Calibri"/>
          <w:b w:val="false"/>
          <w:bCs w:val="false"/>
          <w:color w:val="111111"/>
          <w:sz w:val="21"/>
          <w:szCs w:val="21"/>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behaviour is a shape effect (Section 5.6).</w:t>
      </w:r>
    </w:p>
    <w:p>
      <w:pPr>
        <w:pStyle w:val="Heading1"/>
        <w:spacing w:after="120" w:before="300"/>
      </w:pPr>
      <w:r>
        <w:rPr>
          <w:rFonts w:ascii="Calibri" w:cs="Calibri" w:eastAsia="Calibri" w:hAnsi="Calibri"/>
          <w:b/>
          <w:bCs/>
          <w:color w:val="1F3864"/>
          <w:sz w:val="26"/>
          <w:szCs w:val="26"/>
        </w:rPr>
        <w:t xml:space="preserve">7  Conclusions and future work</w:t>
      </w:r>
    </w:p>
    <w:p>
      <w:pPr>
        <w:spacing w:after="60" w:before="60" w:line="300" w:lineRule="auto"/>
        <w:jc w:val="left"/>
      </w:pPr>
      <w:r>
        <w:rPr>
          <w:rFonts w:ascii="Calibri" w:cs="Calibri" w:eastAsia="Calibri" w:hAnsi="Calibri"/>
          <w:color w:val="111111"/>
          <w:sz w:val="21"/>
          <w:szCs w:val="21"/>
        </w:rPr>
        <w:t xml:space="preserve">The four objectives set out in Section 3 were all met. On the first, microscaling reached a higher signal-to-noise ratio than half precision at fewer bits per stored value, on both kernels: 47.8 dB against 41.7 dB at 14.25 bits on the acoustic kernel, and 46.7 dB, or 43.6 dB at only 13.25 bits, against 40.6 dB on the elastic kernel. On the second, that advantage survived a physical removal of the direct arrival: scored on the reflections alone microscaling reached about 43 dB at twelve mantissa bits, close to its whole-record figure and still clear of a 40 dB target, with the ranking of the schemes unchanged.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60" w:before="60" w:line="300" w:lineRule="auto"/>
        <w:jc w:val="left"/>
      </w:pPr>
      <w:r>
        <w:rPr>
          <w:rFonts w:ascii="Calibri" w:cs="Calibri" w:eastAsia="Calibri" w:hAnsi="Calibri"/>
          <w:color w:val="111111"/>
          <w:sz w:val="21"/>
          <w:szCs w:val="21"/>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60" w:before="60" w:line="300" w:lineRule="auto"/>
        <w:jc w:val="left"/>
      </w:pPr>
      <w:r>
        <w:rPr>
          <w:rFonts w:ascii="Calibri" w:cs="Calibri" w:eastAsia="Calibri" w:hAnsi="Calibri"/>
          <w:color w:val="111111"/>
          <w:sz w:val="21"/>
          <w:szCs w:val="21"/>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60" w:before="60" w:line="300" w:lineRule="auto"/>
        <w:jc w:val="left"/>
      </w:pPr>
      <w:r>
        <w:rPr>
          <w:rFonts w:ascii="Calibri" w:cs="Calibri" w:eastAsia="Calibri" w:hAnsi="Calibri"/>
          <w:color w:val="111111"/>
          <w:sz w:val="21"/>
          <w:szCs w:val="21"/>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20" w:before="300"/>
      </w:pPr>
      <w:r>
        <w:rPr>
          <w:rFonts w:ascii="Calibri" w:cs="Calibri" w:eastAsia="Calibri" w:hAnsi="Calibri"/>
          <w:b/>
          <w:bCs/>
          <w:color w:val="1F3864"/>
          <w:sz w:val="26"/>
          <w:szCs w:val="26"/>
        </w:rPr>
        <w:t xml:space="preserve">Acknowledgements</w:t>
      </w:r>
    </w:p>
    <w:p>
      <w:pPr>
        <w:spacing w:after="60" w:before="60" w:line="300" w:lineRule="auto"/>
        <w:jc w:val="left"/>
      </w:pPr>
      <w:r>
        <w:rPr>
          <w:rFonts w:ascii="Calibri" w:cs="Calibri" w:eastAsia="Calibri" w:hAnsi="Calibri"/>
          <w:color w:val="111111"/>
          <w:sz w:val="21"/>
          <w:szCs w:val="21"/>
        </w:rPr>
        <w:t xml:space="preserve">I thank Dr James Hobro of SLB for supervising this project and for guidance throughout, and SLB for proposing and sponsoring the work.</w:t>
      </w:r>
    </w:p>
    <w:p>
      <w:pPr>
        <w:spacing w:after="60" w:before="60" w:line="300" w:lineRule="auto"/>
        <w:jc w:val="left"/>
      </w:pPr>
      <w:r>
        <w:rPr>
          <w:rFonts w:ascii="Calibri" w:cs="Calibri" w:eastAsia="Calibri" w:hAnsi="Calibri"/>
          <w:color w:val="111111"/>
          <w:sz w:val="21"/>
          <w:szCs w:val="21"/>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20" w:before="300"/>
      </w:pPr>
      <w:r>
        <w:rPr>
          <w:rFonts w:ascii="Calibri" w:cs="Calibri" w:eastAsia="Calibri" w:hAnsi="Calibri"/>
          <w:b/>
          <w:bCs/>
          <w:color w:val="1F3864"/>
          <w:sz w:val="26"/>
          <w:szCs w:val="26"/>
        </w:rPr>
        <w:t xml:space="preserve">References</w:t>
      </w:r>
    </w:p>
    <w:p>
      <w:pPr>
        <w:spacing w:after="40" w:before="40" w:line="270" w:lineRule="auto"/>
        <w:ind w:left="360" w:hanging="360"/>
      </w:pPr>
      <w:r>
        <w:rPr>
          <w:rFonts w:ascii="Calibri" w:cs="Calibri" w:eastAsia="Calibri" w:hAnsi="Calibri"/>
          <w:color w:val="111111"/>
          <w:sz w:val="19"/>
          <w:szCs w:val="19"/>
        </w:rPr>
        <w:t xml:space="preserve">Croci, M., and Giles, M. B. (2023). Effects of round-to-nearest and stochastic rounding in the numerical solution of the heat equation in low precision. IMA Journal of Numerical Analysis, 43(3), 1358-1390.</w:t>
      </w:r>
    </w:p>
    <w:p>
      <w:pPr>
        <w:spacing w:after="40" w:before="40" w:line="270" w:lineRule="auto"/>
        <w:ind w:left="360" w:hanging="360"/>
      </w:pPr>
      <w:r>
        <w:rPr>
          <w:rFonts w:ascii="Calibri" w:cs="Calibri" w:eastAsia="Calibri" w:hAnsi="Calibri"/>
          <w:color w:val="111111"/>
          <w:sz w:val="19"/>
          <w:szCs w:val="19"/>
        </w:rPr>
        <w:t xml:space="preserve">Fabien-Ouellet, G. (2020). Seismic modeling and inversion using half-precision floating-point numbers. Geophysics, 85(3), F65-F76.</w:t>
      </w:r>
    </w:p>
    <w:p>
      <w:pPr>
        <w:spacing w:after="40" w:before="40" w:line="270" w:lineRule="auto"/>
        <w:ind w:left="360" w:hanging="360"/>
      </w:pPr>
      <w:r>
        <w:rPr>
          <w:rFonts w:ascii="Calibri" w:cs="Calibri" w:eastAsia="Calibri" w:hAnsi="Calibri"/>
          <w:color w:val="111111"/>
          <w:sz w:val="19"/>
          <w:szCs w:val="19"/>
        </w:rPr>
        <w:t xml:space="preserve">Lindstrom, P. (2014). Fixed-rate compressed floating-point arrays. IEEE Transactions on Visualization and Computer Graphics, 20(12), 2674-2683.</w:t>
      </w:r>
    </w:p>
    <w:p>
      <w:pPr>
        <w:spacing w:after="40" w:before="40" w:line="270" w:lineRule="auto"/>
        <w:ind w:left="360" w:hanging="360"/>
      </w:pPr>
      <w:r>
        <w:rPr>
          <w:rFonts w:ascii="Calibri" w:cs="Calibri" w:eastAsia="Calibri" w:hAnsi="Calibri"/>
          <w:color w:val="111111"/>
          <w:sz w:val="19"/>
          <w:szCs w:val="19"/>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40" w:before="40" w:line="270" w:lineRule="auto"/>
        <w:ind w:left="360" w:hanging="360"/>
      </w:pPr>
      <w:r>
        <w:rPr>
          <w:rFonts w:ascii="Calibri" w:cs="Calibri" w:eastAsia="Calibri" w:hAnsi="Calibri"/>
          <w:color w:val="111111"/>
          <w:sz w:val="19"/>
          <w:szCs w:val="19"/>
        </w:rPr>
        <w:t xml:space="preserve">Open Compute Project (2023). OCP Microscaling Formats (MX) Specification, Version 1.0.</w:t>
      </w:r>
    </w:p>
    <w:p>
      <w:pPr>
        <w:spacing w:after="40" w:before="40" w:line="270" w:lineRule="auto"/>
        <w:ind w:left="360" w:hanging="360"/>
      </w:pPr>
      <w:r>
        <w:rPr>
          <w:rFonts w:ascii="Calibri" w:cs="Calibri" w:eastAsia="Calibri" w:hAnsi="Calibri"/>
          <w:color w:val="111111"/>
          <w:sz w:val="19"/>
          <w:szCs w:val="19"/>
        </w:rPr>
        <w:t xml:space="preserve">Versteeg, R. (1994). The Marmousi experience: velocity model determination on a synthetic complex data set. The Leading Edge, 13(9), 927-936.</w:t>
      </w:r>
    </w:p>
    <w:p>
      <w:pPr>
        <w:spacing w:after="40" w:before="40" w:line="270" w:lineRule="auto"/>
        <w:ind w:left="360" w:hanging="360"/>
      </w:pPr>
      <w:r>
        <w:rPr>
          <w:rFonts w:ascii="Calibri" w:cs="Calibri" w:eastAsia="Calibri" w:hAnsi="Calibri"/>
          <w:color w:val="111111"/>
          <w:sz w:val="19"/>
          <w:szCs w:val="19"/>
        </w:rPr>
        <w:t xml:space="preserve">Virieux, J., and Operto, S. (2009). An overview of full-waveform inversion in exploration geophysics. Geophysics, 74(6), WCC1-WCC26.</w:t>
      </w:r>
    </w:p>
    <w:p>
      <w:r>
        <w:br w:type="page"/>
      </w:r>
    </w:p>
    <w:p>
      <w:pPr>
        <w:pStyle w:val="Heading1"/>
        <w:spacing w:after="120" w:before="300"/>
      </w:pPr>
      <w:r>
        <w:rPr>
          <w:rFonts w:ascii="Calibri" w:cs="Calibri" w:eastAsia="Calibri" w:hAnsi="Calibri"/>
          <w:b/>
          <w:bCs/>
          <w:color w:val="1F3864"/>
          <w:sz w:val="26"/>
          <w:szCs w:val="26"/>
        </w:rPr>
        <w:t xml:space="preserve">Appendix A  Baseline validation</w:t>
      </w:r>
    </w:p>
    <w:p>
      <w:pPr>
        <w:spacing w:after="60" w:before="60" w:line="300" w:lineRule="auto"/>
        <w:jc w:val="left"/>
      </w:pPr>
      <w:r>
        <w:rPr>
          <w:rFonts w:ascii="Calibri" w:cs="Calibri" w:eastAsia="Calibri" w:hAnsi="Calibri"/>
          <w:color w:val="111111"/>
          <w:sz w:val="21"/>
          <w:szCs w:val="21"/>
        </w:rPr>
        <w:t xml:space="preserve">The full-precision baseline against which every scheme is measured. Figure A1 shows the velocity model and acquisition; Figure A2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4287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A1. Marmousi velocity model with source and receiver positions.</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A2. Single- against double-precision difference, which sets the accuracy reference.</w:t>
      </w:r>
    </w:p>
    <w:p>
      <w:pPr>
        <w:pStyle w:val="Heading1"/>
        <w:spacing w:after="120" w:before="300"/>
      </w:pPr>
      <w:r>
        <w:rPr>
          <w:rFonts w:ascii="Calibri" w:cs="Calibri" w:eastAsia="Calibri" w:hAnsi="Calibri"/>
          <w:b/>
          <w:bCs/>
          <w:color w:val="1F3864"/>
          <w:sz w:val="26"/>
          <w:szCs w:val="26"/>
        </w:rPr>
        <w:t xml:space="preserve">Appendix B  Supporting figures</w:t>
      </w:r>
    </w:p>
    <w:p>
      <w:pPr>
        <w:spacing w:after="60" w:before="60" w:line="300" w:lineRule="auto"/>
        <w:jc w:val="left"/>
      </w:pPr>
      <w:r>
        <w:rPr>
          <w:rFonts w:ascii="Calibri" w:cs="Calibri" w:eastAsia="Calibri" w:hAnsi="Calibri"/>
          <w:color w:val="111111"/>
          <w:sz w:val="21"/>
          <w:szCs w:val="21"/>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B1. Growth of the relative wavefield error over the solve at six mantissa bits, on a logarithmic axis.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2181225"/>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B2. int16 error as the number of independent scales increases; per-block scaling converges to microscaling.</w:t>
      </w:r>
    </w:p>
    <w:p>
      <w:pPr>
        <w:pStyle w:val="Heading1"/>
        <w:spacing w:after="120" w:before="300"/>
      </w:pPr>
      <w:r>
        <w:rPr>
          <w:rFonts w:ascii="Calibri" w:cs="Calibri" w:eastAsia="Calibri" w:hAnsi="Calibri"/>
          <w:b/>
          <w:bCs/>
          <w:color w:val="1F3864"/>
          <w:sz w:val="26"/>
          <w:szCs w:val="26"/>
        </w:rPr>
        <w:t xml:space="preserve">Appendix C  Half-precision arithmetic</w:t>
      </w:r>
    </w:p>
    <w:p>
      <w:pPr>
        <w:spacing w:after="60" w:before="60" w:line="300" w:lineRule="auto"/>
        <w:jc w:val="left"/>
      </w:pPr>
      <w:r>
        <w:rPr>
          <w:rFonts w:ascii="Calibri" w:cs="Calibri" w:eastAsia="Calibri" w:hAnsi="Calibri"/>
          <w:color w:val="111111"/>
          <w:sz w:val="21"/>
          <w:szCs w:val="21"/>
        </w:rPr>
        <w:t xml:space="preserve">Because Devito cannot build a half-precision grid, the half-precision-arithmetic method of Fabien-Ouellet was reproduced in a self-contained stepper (Figure C1), which reproduces the reported behaviour and confirms the baseline the elastic comparison scores against.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00250"/>
                    </a:xfrm>
                    <a:prstGeom prst="rect">
                      <a:avLst/>
                    </a:prstGeom>
                  </pic:spPr>
                </pic:pic>
              </a:graphicData>
            </a:graphic>
          </wp:inline>
        </w:drawing>
      </w:r>
    </w:p>
    <w:p>
      <w:pPr>
        <w:spacing w:after="150" w:before="0"/>
        <w:jc w:val="left"/>
      </w:pPr>
      <w:r>
        <w:rPr>
          <w:rFonts w:ascii="Calibri" w:cs="Calibri" w:eastAsia="Calibri" w:hAnsi="Calibri"/>
          <w:i/>
          <w:iCs/>
          <w:color w:val="595959"/>
          <w:sz w:val="17"/>
          <w:szCs w:val="17"/>
        </w:rPr>
        <w:t xml:space="preserve">Figure C1. Reproduction of half-precision arithmetic in a self-contained stepper.</w:t>
      </w:r>
    </w:p>
    <w:p>
      <w:pPr>
        <w:spacing w:after="50" w:before="90"/>
      </w:pPr>
      <w:r>
        <w:rPr>
          <w:rFonts w:ascii="Calibri" w:cs="Calibri" w:eastAsia="Calibri" w:hAnsi="Calibri"/>
          <w:i/>
          <w:iCs/>
          <w:color w:val="595959"/>
          <w:sz w:val="17"/>
          <w:szCs w:val="17"/>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18"/>
                <w:szCs w:val="18"/>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9.7x10^-3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40.1</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9.9x10^-3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43.6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6.6x10^-3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4.6x10^-3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63.0</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18"/>
                <w:szCs w:val="18"/>
              </w:rPr>
              <w:t xml:space="preserve">7.1x10^-4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0b4270de1c7b99bd4421f49e68dd139232407f7.png"/><Relationship Id="rId10" Type="http://schemas.openxmlformats.org/officeDocument/2006/relationships/image" Target="media/6b47659c55b37fa987a15dc068eaf01087eddbeb.png"/><Relationship Id="rId11" Type="http://schemas.openxmlformats.org/officeDocument/2006/relationships/image" Target="media/e2fe0a59d0f0e66a7c232766acf4a6d9bedcb136.png"/><Relationship Id="rId12" Type="http://schemas.openxmlformats.org/officeDocument/2006/relationships/image" Target="media/553eff9e420711ca504c1951381919e64ffb6296.png"/><Relationship Id="rId13" Type="http://schemas.openxmlformats.org/officeDocument/2006/relationships/image" Target="media/aed7268170ecc353aec3fc25c1f8132ac43c97df.png"/><Relationship Id="rId14" Type="http://schemas.openxmlformats.org/officeDocument/2006/relationships/image" Target="media/db842930f810e53faf30359d01fcefbb588e1e05.png"/><Relationship Id="rId15" Type="http://schemas.openxmlformats.org/officeDocument/2006/relationships/image" Target="media/dcae104de4f8772bee60fc0ae5c21b6adacbdf6d.png"/><Relationship Id="rId16" Type="http://schemas.openxmlformats.org/officeDocument/2006/relationships/image" Target="media/ece73b4cf61750b5ec1f552e4b7d87ce2e9af12f.png"/><Relationship Id="rId17" Type="http://schemas.openxmlformats.org/officeDocument/2006/relationships/image" Target="media/a19efc8aaa48ddca6379f9b4cb81326098bd7a06.png"/><Relationship Id="rId18" Type="http://schemas.openxmlformats.org/officeDocument/2006/relationships/image" Target="media/484d5d55d86913b83dbee261211eca503255246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6ebc01fde09bcae410d78b1f4c701b523fbbc753.png"/><Relationship Id="rId22" Type="http://schemas.openxmlformats.org/officeDocument/2006/relationships/image" Target="media/7050efb64f13bbc22338838b7d1ea7c86e89193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2026-08-27T19:13:53.725Z</dcterms:created>
  <dcterms:modified xsi:type="dcterms:W3CDTF">2026-08-27T19:13:53.747Z</dcterms:modified>
</cp:coreProperties>
</file>

<file path=docProps/custom.xml><?xml version="1.0" encoding="utf-8"?>
<Properties xmlns="http://schemas.openxmlformats.org/officeDocument/2006/custom-properties" xmlns:vt="http://schemas.openxmlformats.org/officeDocument/2006/docPropsVTypes"/>
</file>