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1B8" w:rsidRDefault="008851B8" w:rsidP="008851B8">
      <w:pPr>
        <w:spacing w:before="100" w:beforeAutospacing="1" w:after="100" w:afterAutospacing="1" w:line="240" w:lineRule="auto"/>
        <w:rPr>
          <w:rFonts w:ascii="Arial" w:eastAsia="Times New Roman" w:hAnsi="Arial" w:cs="Arial"/>
          <w:color w:val="000000"/>
          <w:sz w:val="24"/>
          <w:szCs w:val="24"/>
        </w:rPr>
      </w:pPr>
      <w:r w:rsidRPr="008851B8">
        <w:rPr>
          <w:rFonts w:ascii="Arial" w:eastAsia="Times New Roman" w:hAnsi="Arial" w:cs="Arial"/>
          <w:color w:val="000000"/>
          <w:sz w:val="24"/>
          <w:szCs w:val="24"/>
        </w:rPr>
        <w:t xml:space="preserve">Beyond </w:t>
      </w:r>
      <w:r w:rsidRPr="008851B8">
        <w:rPr>
          <w:rFonts w:ascii="Arial" w:eastAsia="Times New Roman" w:hAnsi="Arial" w:cs="Arial"/>
          <w:b/>
          <w:color w:val="000000"/>
          <w:sz w:val="24"/>
          <w:szCs w:val="24"/>
        </w:rPr>
        <w:t>Black-Scholes</w:t>
      </w:r>
    </w:p>
    <w:p w:rsidR="008851B8" w:rsidRPr="008851B8" w:rsidRDefault="008851B8" w:rsidP="008851B8">
      <w:pPr>
        <w:spacing w:before="100" w:beforeAutospacing="1" w:after="100" w:afterAutospacing="1" w:line="240" w:lineRule="auto"/>
        <w:rPr>
          <w:rFonts w:ascii="Arial" w:eastAsia="Times New Roman" w:hAnsi="Arial" w:cs="Arial"/>
          <w:color w:val="000000"/>
          <w:sz w:val="24"/>
          <w:szCs w:val="24"/>
        </w:rPr>
      </w:pPr>
      <w:r w:rsidRPr="008851B8">
        <w:rPr>
          <w:rFonts w:ascii="Arial" w:eastAsia="Times New Roman" w:hAnsi="Arial" w:cs="Arial"/>
          <w:color w:val="000000"/>
          <w:sz w:val="24"/>
          <w:szCs w:val="24"/>
        </w:rPr>
        <w:t>Specify a model (e.g. geometric Brownian motion) </w:t>
      </w:r>
    </w:p>
    <w:p w:rsidR="008851B8" w:rsidRPr="00EE64EC" w:rsidRDefault="008851B8" w:rsidP="008851B8">
      <w:pPr>
        <w:pStyle w:val="ListParagraph"/>
        <w:numPr>
          <w:ilvl w:val="0"/>
          <w:numId w:val="4"/>
        </w:numPr>
        <w:spacing w:before="100" w:beforeAutospacing="1" w:after="100" w:afterAutospacing="1"/>
        <w:rPr>
          <w:rFonts w:ascii="Arial" w:eastAsia="Times New Roman" w:hAnsi="Arial" w:cs="Arial"/>
          <w:color w:val="000000"/>
          <w:sz w:val="24"/>
          <w:szCs w:val="24"/>
        </w:rPr>
      </w:pPr>
      <w:r w:rsidRPr="00EE64EC">
        <w:rPr>
          <w:rFonts w:ascii="Arial" w:eastAsia="Times New Roman" w:hAnsi="Arial" w:cs="Arial"/>
          <w:color w:val="000000"/>
          <w:sz w:val="24"/>
          <w:szCs w:val="24"/>
        </w:rPr>
        <w:t xml:space="preserve">A discrete model. </w:t>
      </w:r>
    </w:p>
    <w:p w:rsidR="008851B8" w:rsidRDefault="008851B8" w:rsidP="008851B8">
      <w:pPr>
        <w:pStyle w:val="ListParagraph"/>
        <w:numPr>
          <w:ilvl w:val="0"/>
          <w:numId w:val="4"/>
        </w:numPr>
        <w:spacing w:before="100" w:beforeAutospacing="1" w:after="100" w:afterAutospacing="1"/>
        <w:rPr>
          <w:rFonts w:ascii="Arial" w:eastAsia="Times New Roman" w:hAnsi="Arial" w:cs="Arial"/>
          <w:color w:val="000000"/>
          <w:sz w:val="24"/>
          <w:szCs w:val="24"/>
        </w:rPr>
      </w:pPr>
      <w:r w:rsidRPr="00EE64EC">
        <w:rPr>
          <w:rFonts w:ascii="Arial" w:eastAsia="Times New Roman" w:hAnsi="Arial" w:cs="Arial"/>
          <w:color w:val="000000"/>
          <w:sz w:val="24"/>
          <w:szCs w:val="24"/>
        </w:rPr>
        <w:t>Consistency between BTM and PDE</w:t>
      </w:r>
    </w:p>
    <w:p w:rsidR="008851B8" w:rsidRDefault="008851B8" w:rsidP="008851B8">
      <w:pPr>
        <w:pStyle w:val="ListParagraph"/>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 xml:space="preserve">Three methods: </w:t>
      </w:r>
    </w:p>
    <w:p w:rsidR="008851B8" w:rsidRPr="008851B8" w:rsidRDefault="008851B8" w:rsidP="008851B8">
      <w:pPr>
        <w:pStyle w:val="ListParagraph"/>
        <w:numPr>
          <w:ilvl w:val="0"/>
          <w:numId w:val="5"/>
        </w:numPr>
        <w:spacing w:before="100" w:beforeAutospacing="1" w:after="100" w:afterAutospacing="1"/>
        <w:rPr>
          <w:rFonts w:ascii="Arial" w:eastAsia="Times New Roman" w:hAnsi="Arial" w:cs="Arial"/>
          <w:color w:val="000000"/>
          <w:sz w:val="24"/>
          <w:szCs w:val="24"/>
        </w:rPr>
      </w:pPr>
      <w:r w:rsidRPr="008851B8">
        <w:rPr>
          <w:rFonts w:ascii="Arial" w:eastAsia="Times New Roman" w:hAnsi="Arial" w:cs="Arial"/>
          <w:color w:val="000000"/>
          <w:sz w:val="24"/>
          <w:szCs w:val="24"/>
        </w:rPr>
        <w:t>PDE</w:t>
      </w:r>
    </w:p>
    <w:p w:rsidR="008851B8" w:rsidRPr="008851B8" w:rsidRDefault="008851B8" w:rsidP="008851B8">
      <w:pPr>
        <w:pStyle w:val="ListParagraph"/>
        <w:numPr>
          <w:ilvl w:val="0"/>
          <w:numId w:val="5"/>
        </w:numPr>
        <w:spacing w:before="100" w:beforeAutospacing="1" w:after="100" w:afterAutospacing="1"/>
        <w:rPr>
          <w:rFonts w:ascii="Arial" w:eastAsia="Times New Roman" w:hAnsi="Arial" w:cs="Arial"/>
          <w:color w:val="000000"/>
          <w:sz w:val="24"/>
          <w:szCs w:val="24"/>
        </w:rPr>
      </w:pPr>
      <w:r w:rsidRPr="008851B8">
        <w:rPr>
          <w:rFonts w:ascii="Arial" w:eastAsia="Times New Roman" w:hAnsi="Arial" w:cs="Arial"/>
          <w:color w:val="000000"/>
          <w:sz w:val="24"/>
          <w:szCs w:val="24"/>
        </w:rPr>
        <w:t>BTM</w:t>
      </w:r>
      <w:bookmarkStart w:id="0" w:name="_GoBack"/>
      <w:bookmarkEnd w:id="0"/>
    </w:p>
    <w:p w:rsidR="008851B8" w:rsidRPr="008851B8" w:rsidRDefault="008851B8" w:rsidP="008851B8">
      <w:pPr>
        <w:pStyle w:val="ListParagraph"/>
        <w:numPr>
          <w:ilvl w:val="0"/>
          <w:numId w:val="5"/>
        </w:numPr>
        <w:spacing w:before="100" w:beforeAutospacing="1" w:after="100" w:afterAutospacing="1"/>
        <w:rPr>
          <w:rFonts w:ascii="Arial" w:eastAsia="Times New Roman" w:hAnsi="Arial" w:cs="Arial"/>
          <w:color w:val="000000"/>
          <w:sz w:val="24"/>
          <w:szCs w:val="24"/>
        </w:rPr>
      </w:pPr>
      <w:r w:rsidRPr="008851B8">
        <w:rPr>
          <w:rFonts w:ascii="Arial" w:eastAsia="Times New Roman" w:hAnsi="Arial" w:cs="Arial"/>
          <w:color w:val="000000"/>
          <w:sz w:val="24"/>
          <w:szCs w:val="24"/>
        </w:rPr>
        <w:t>Monte-Carlo Simulation</w:t>
      </w:r>
    </w:p>
    <w:p w:rsidR="008851B8" w:rsidRDefault="008851B8" w:rsidP="008851B8">
      <w:pPr>
        <w:rPr>
          <w:rFonts w:ascii="Arial" w:hAnsi="Arial" w:cs="Arial"/>
          <w:color w:val="000000"/>
          <w:shd w:val="clear" w:color="auto" w:fill="FFFFFF"/>
        </w:rPr>
      </w:pPr>
    </w:p>
    <w:p w:rsidR="008851B8" w:rsidRPr="008851B8" w:rsidRDefault="008851B8" w:rsidP="008851B8">
      <w:pPr>
        <w:rPr>
          <w:rFonts w:ascii="Arial" w:hAnsi="Arial" w:cs="Arial"/>
          <w:color w:val="000000"/>
          <w:shd w:val="clear" w:color="auto" w:fill="FFFFFF"/>
        </w:rPr>
      </w:pPr>
      <w:r w:rsidRPr="008851B8">
        <w:rPr>
          <w:rFonts w:ascii="Arial" w:hAnsi="Arial" w:cs="Arial"/>
          <w:color w:val="000000"/>
          <w:shd w:val="clear" w:color="auto" w:fill="FFFFFF"/>
        </w:rPr>
        <w:t>Under the Black-Scholes framework.</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bCs/>
          <w:color w:val="000000"/>
          <w:shd w:val="clear" w:color="auto" w:fill="FFFFFF"/>
        </w:rPr>
        <w:t>American style</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Multi-asset options (multi-dimensional Ito lemma)</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Barrier options</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 xml:space="preserve">Asian options and </w:t>
      </w:r>
      <w:proofErr w:type="spellStart"/>
      <w:r w:rsidRPr="008851B8">
        <w:rPr>
          <w:rFonts w:ascii="Arial" w:hAnsi="Arial" w:cs="Arial"/>
          <w:color w:val="000000"/>
          <w:shd w:val="clear" w:color="auto" w:fill="FFFFFF"/>
        </w:rPr>
        <w:t>lookback</w:t>
      </w:r>
      <w:proofErr w:type="spellEnd"/>
      <w:r w:rsidRPr="008851B8">
        <w:rPr>
          <w:rFonts w:ascii="Arial" w:hAnsi="Arial" w:cs="Arial"/>
          <w:color w:val="000000"/>
          <w:shd w:val="clear" w:color="auto" w:fill="FFFFFF"/>
        </w:rPr>
        <w:t xml:space="preserve"> options</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Shouting options</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Forward start options</w:t>
      </w:r>
    </w:p>
    <w:p w:rsidR="00000000" w:rsidRPr="008851B8" w:rsidRDefault="00056620" w:rsidP="008851B8">
      <w:pPr>
        <w:numPr>
          <w:ilvl w:val="0"/>
          <w:numId w:val="6"/>
        </w:numPr>
        <w:rPr>
          <w:rFonts w:ascii="Arial" w:hAnsi="Arial" w:cs="Arial"/>
          <w:color w:val="000000"/>
          <w:shd w:val="clear" w:color="auto" w:fill="FFFFFF"/>
        </w:rPr>
      </w:pPr>
      <w:r w:rsidRPr="008851B8">
        <w:rPr>
          <w:rFonts w:ascii="Arial" w:hAnsi="Arial" w:cs="Arial"/>
          <w:color w:val="000000"/>
          <w:shd w:val="clear" w:color="auto" w:fill="FFFFFF"/>
        </w:rPr>
        <w:t>Compound options</w:t>
      </w:r>
    </w:p>
    <w:p w:rsidR="008851B8" w:rsidRDefault="008851B8">
      <w:pPr>
        <w:rPr>
          <w:rFonts w:ascii="Arial" w:hAnsi="Arial" w:cs="Arial"/>
          <w:b/>
          <w:color w:val="000000"/>
          <w:shd w:val="clear" w:color="auto" w:fill="FFFFFF"/>
        </w:rPr>
      </w:pPr>
      <w:r w:rsidRPr="008851B8">
        <w:rPr>
          <w:rFonts w:ascii="Arial" w:hAnsi="Arial" w:cs="Arial"/>
          <w:b/>
          <w:color w:val="000000"/>
          <w:shd w:val="clear" w:color="auto" w:fill="FFFFFF"/>
        </w:rPr>
        <w:t>Beyond Black-Scholes</w:t>
      </w:r>
    </w:p>
    <w:p w:rsidR="00000000" w:rsidRPr="008851B8" w:rsidRDefault="00056620" w:rsidP="008851B8">
      <w:pPr>
        <w:numPr>
          <w:ilvl w:val="0"/>
          <w:numId w:val="7"/>
        </w:numPr>
        <w:rPr>
          <w:rFonts w:ascii="Arial" w:hAnsi="Arial" w:cs="Arial"/>
          <w:color w:val="000000"/>
          <w:shd w:val="clear" w:color="auto" w:fill="FFFFFF"/>
        </w:rPr>
      </w:pPr>
      <w:r w:rsidRPr="008851B8">
        <w:rPr>
          <w:rFonts w:ascii="Arial" w:hAnsi="Arial" w:cs="Arial"/>
          <w:color w:val="000000"/>
          <w:shd w:val="clear" w:color="auto" w:fill="FFFFFF"/>
        </w:rPr>
        <w:t>Implied volatility and volatility smile phenomenon</w:t>
      </w:r>
    </w:p>
    <w:p w:rsidR="00000000" w:rsidRPr="008851B8" w:rsidRDefault="00056620" w:rsidP="008851B8">
      <w:pPr>
        <w:numPr>
          <w:ilvl w:val="0"/>
          <w:numId w:val="7"/>
        </w:numPr>
        <w:rPr>
          <w:rFonts w:ascii="Arial" w:hAnsi="Arial" w:cs="Arial"/>
          <w:color w:val="000000"/>
          <w:shd w:val="clear" w:color="auto" w:fill="FFFFFF"/>
        </w:rPr>
      </w:pPr>
      <w:r w:rsidRPr="008851B8">
        <w:rPr>
          <w:rFonts w:ascii="Arial" w:hAnsi="Arial" w:cs="Arial"/>
          <w:color w:val="000000"/>
          <w:shd w:val="clear" w:color="auto" w:fill="FFFFFF"/>
        </w:rPr>
        <w:t>Improved model:</w:t>
      </w:r>
    </w:p>
    <w:p w:rsidR="00000000" w:rsidRPr="008851B8" w:rsidRDefault="00056620" w:rsidP="008851B8">
      <w:pPr>
        <w:numPr>
          <w:ilvl w:val="1"/>
          <w:numId w:val="7"/>
        </w:numPr>
        <w:rPr>
          <w:rFonts w:ascii="Arial" w:hAnsi="Arial" w:cs="Arial"/>
          <w:color w:val="000000"/>
          <w:shd w:val="clear" w:color="auto" w:fill="FFFFFF"/>
        </w:rPr>
      </w:pPr>
      <w:r w:rsidRPr="008851B8">
        <w:rPr>
          <w:rFonts w:ascii="Arial" w:hAnsi="Arial" w:cs="Arial"/>
          <w:color w:val="000000"/>
          <w:shd w:val="clear" w:color="auto" w:fill="FFFFFF"/>
        </w:rPr>
        <w:t xml:space="preserve">Local </w:t>
      </w:r>
      <w:proofErr w:type="spellStart"/>
      <w:r w:rsidRPr="008851B8">
        <w:rPr>
          <w:rFonts w:ascii="Arial" w:hAnsi="Arial" w:cs="Arial"/>
          <w:color w:val="000000"/>
          <w:shd w:val="clear" w:color="auto" w:fill="FFFFFF"/>
        </w:rPr>
        <w:t>Vol</w:t>
      </w:r>
      <w:proofErr w:type="spellEnd"/>
      <w:r w:rsidRPr="008851B8">
        <w:rPr>
          <w:rFonts w:ascii="Arial" w:hAnsi="Arial" w:cs="Arial"/>
          <w:color w:val="000000"/>
          <w:shd w:val="clear" w:color="auto" w:fill="FFFFFF"/>
        </w:rPr>
        <w:t xml:space="preserve"> </w:t>
      </w:r>
    </w:p>
    <w:p w:rsidR="00000000" w:rsidRPr="008851B8" w:rsidRDefault="00056620" w:rsidP="008851B8">
      <w:pPr>
        <w:numPr>
          <w:ilvl w:val="1"/>
          <w:numId w:val="7"/>
        </w:numPr>
        <w:rPr>
          <w:rFonts w:ascii="Arial" w:hAnsi="Arial" w:cs="Arial"/>
          <w:color w:val="000000"/>
          <w:shd w:val="clear" w:color="auto" w:fill="FFFFFF"/>
        </w:rPr>
      </w:pPr>
      <w:r w:rsidRPr="008851B8">
        <w:rPr>
          <w:rFonts w:ascii="Arial" w:hAnsi="Arial" w:cs="Arial"/>
          <w:color w:val="000000"/>
          <w:shd w:val="clear" w:color="auto" w:fill="FFFFFF"/>
        </w:rPr>
        <w:t xml:space="preserve">Stochastic </w:t>
      </w:r>
      <w:proofErr w:type="spellStart"/>
      <w:r w:rsidRPr="008851B8">
        <w:rPr>
          <w:rFonts w:ascii="Arial" w:hAnsi="Arial" w:cs="Arial"/>
          <w:color w:val="000000"/>
          <w:shd w:val="clear" w:color="auto" w:fill="FFFFFF"/>
        </w:rPr>
        <w:t>Vol</w:t>
      </w:r>
      <w:proofErr w:type="spellEnd"/>
    </w:p>
    <w:p w:rsidR="00000000" w:rsidRPr="008851B8" w:rsidRDefault="00056620" w:rsidP="008851B8">
      <w:pPr>
        <w:numPr>
          <w:ilvl w:val="1"/>
          <w:numId w:val="7"/>
        </w:numPr>
        <w:rPr>
          <w:rFonts w:ascii="Arial" w:hAnsi="Arial" w:cs="Arial"/>
          <w:color w:val="000000"/>
          <w:shd w:val="clear" w:color="auto" w:fill="FFFFFF"/>
        </w:rPr>
      </w:pPr>
      <w:r w:rsidRPr="008851B8">
        <w:rPr>
          <w:rFonts w:ascii="Arial" w:hAnsi="Arial" w:cs="Arial"/>
          <w:color w:val="000000"/>
          <w:shd w:val="clear" w:color="auto" w:fill="FFFFFF"/>
        </w:rPr>
        <w:t>Jump-diffusion</w:t>
      </w:r>
    </w:p>
    <w:p w:rsidR="008851B8" w:rsidRDefault="008851B8">
      <w:pPr>
        <w:rPr>
          <w:rFonts w:ascii="Arial" w:hAnsi="Arial" w:cs="Arial"/>
          <w:b/>
          <w:color w:val="000000"/>
          <w:shd w:val="clear" w:color="auto" w:fill="FFFFFF"/>
        </w:rPr>
      </w:pPr>
    </w:p>
    <w:p w:rsidR="008851B8" w:rsidRDefault="008851B8">
      <w:pPr>
        <w:rPr>
          <w:rFonts w:ascii="Arial" w:hAnsi="Arial" w:cs="Arial"/>
          <w:b/>
          <w:color w:val="000000"/>
          <w:shd w:val="clear" w:color="auto" w:fill="FFFFFF"/>
        </w:rPr>
      </w:pPr>
    </w:p>
    <w:p w:rsidR="00956ED1" w:rsidRPr="00956ED1" w:rsidRDefault="001473CD">
      <w:pPr>
        <w:rPr>
          <w:rFonts w:ascii="Arial" w:hAnsi="Arial" w:cs="Arial"/>
          <w:b/>
          <w:color w:val="000000"/>
          <w:shd w:val="clear" w:color="auto" w:fill="FFFFFF"/>
        </w:rPr>
      </w:pPr>
      <w:r w:rsidRPr="00956ED1">
        <w:rPr>
          <w:rFonts w:ascii="Arial" w:hAnsi="Arial" w:cs="Arial"/>
          <w:b/>
          <w:color w:val="000000"/>
          <w:shd w:val="clear" w:color="auto" w:fill="FFFFFF"/>
        </w:rPr>
        <w:t xml:space="preserve">Monte Carlo Simulation </w:t>
      </w:r>
      <w:proofErr w:type="gramStart"/>
      <w:r w:rsidRPr="00956ED1">
        <w:rPr>
          <w:rFonts w:ascii="Arial" w:hAnsi="Arial" w:cs="Arial"/>
          <w:b/>
          <w:color w:val="000000"/>
          <w:shd w:val="clear" w:color="auto" w:fill="FFFFFF"/>
        </w:rPr>
        <w:t>With</w:t>
      </w:r>
      <w:proofErr w:type="gramEnd"/>
      <w:r w:rsidRPr="00956ED1">
        <w:rPr>
          <w:rFonts w:ascii="Arial" w:hAnsi="Arial" w:cs="Arial"/>
          <w:b/>
          <w:color w:val="000000"/>
          <w:shd w:val="clear" w:color="auto" w:fill="FFFFFF"/>
        </w:rPr>
        <w:t xml:space="preserve"> GBM</w:t>
      </w:r>
    </w:p>
    <w:p w:rsidR="00C96D22" w:rsidRDefault="00956ED1">
      <w:pPr>
        <w:rPr>
          <w:rFonts w:ascii="Arial" w:hAnsi="Arial" w:cs="Arial"/>
          <w:color w:val="000000"/>
        </w:rPr>
      </w:pPr>
      <w:r>
        <w:rPr>
          <w:rFonts w:ascii="Arial" w:hAnsi="Arial" w:cs="Arial"/>
          <w:color w:val="000000"/>
          <w:shd w:val="clear" w:color="auto" w:fill="FFFFFF"/>
        </w:rPr>
        <w:t>T</w:t>
      </w:r>
      <w:r>
        <w:rPr>
          <w:rFonts w:ascii="Arial" w:hAnsi="Arial" w:cs="Arial"/>
          <w:color w:val="000000"/>
          <w:shd w:val="clear" w:color="auto" w:fill="FFFFFF"/>
        </w:rPr>
        <w:t>o calculate the </w:t>
      </w:r>
      <w:hyperlink r:id="rId5" w:history="1">
        <w:r>
          <w:rPr>
            <w:rStyle w:val="Hyperlink"/>
            <w:rFonts w:ascii="Arial" w:hAnsi="Arial" w:cs="Arial"/>
            <w:color w:val="005B9D"/>
            <w:u w:val="none"/>
          </w:rPr>
          <w:t>value at risk</w:t>
        </w:r>
      </w:hyperlink>
      <w:r>
        <w:rPr>
          <w:rFonts w:ascii="Arial" w:hAnsi="Arial" w:cs="Arial"/>
          <w:color w:val="000000"/>
          <w:shd w:val="clear" w:color="auto" w:fill="FFFFFF"/>
        </w:rPr>
        <w:t>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of a portfolio, we can run a Monte Carlo simulation that attempts to predict the worst likely loss for a portfolio given a </w:t>
      </w:r>
      <w:hyperlink r:id="rId6" w:history="1">
        <w:r>
          <w:rPr>
            <w:rStyle w:val="Hyperlink"/>
            <w:rFonts w:ascii="Arial" w:hAnsi="Arial" w:cs="Arial"/>
            <w:color w:val="005B9D"/>
            <w:u w:val="none"/>
          </w:rPr>
          <w:t>confidence interval</w:t>
        </w:r>
      </w:hyperlink>
      <w:r>
        <w:rPr>
          <w:rFonts w:ascii="Arial" w:hAnsi="Arial" w:cs="Arial"/>
          <w:color w:val="000000"/>
          <w:shd w:val="clear" w:color="auto" w:fill="FFFFFF"/>
        </w:rPr>
        <w:t xml:space="preserve"> over a </w:t>
      </w:r>
      <w:r>
        <w:rPr>
          <w:rFonts w:ascii="Arial" w:hAnsi="Arial" w:cs="Arial"/>
          <w:color w:val="000000"/>
          <w:shd w:val="clear" w:color="auto" w:fill="FFFFFF"/>
        </w:rPr>
        <w:lastRenderedPageBreak/>
        <w:t>specified </w:t>
      </w:r>
      <w:hyperlink r:id="rId7" w:history="1">
        <w:r>
          <w:rPr>
            <w:rStyle w:val="Hyperlink"/>
            <w:rFonts w:ascii="Arial" w:hAnsi="Arial" w:cs="Arial"/>
            <w:color w:val="005B9D"/>
            <w:u w:val="none"/>
          </w:rPr>
          <w:t>time horizon</w:t>
        </w:r>
      </w:hyperlink>
      <w:r>
        <w:rPr>
          <w:rFonts w:ascii="Arial" w:hAnsi="Arial" w:cs="Arial"/>
          <w:color w:val="000000"/>
          <w:shd w:val="clear" w:color="auto" w:fill="FFFFFF"/>
        </w:rPr>
        <w:t xml:space="preserve"> - we always need to specify two conditions for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confidence and horizon.</w:t>
      </w:r>
      <w:r>
        <w:rPr>
          <w:rFonts w:ascii="Arial" w:hAnsi="Arial" w:cs="Arial"/>
          <w:color w:val="000000"/>
        </w:rPr>
        <w:br/>
      </w:r>
    </w:p>
    <w:p w:rsidR="00C96D22" w:rsidRPr="00C96D22" w:rsidRDefault="00C96D22" w:rsidP="00C96D22">
      <w:pPr>
        <w:spacing w:before="100" w:beforeAutospacing="1" w:after="100" w:afterAutospacing="1" w:line="240" w:lineRule="auto"/>
        <w:rPr>
          <w:rFonts w:ascii="Arial" w:eastAsia="Times New Roman" w:hAnsi="Arial" w:cs="Arial"/>
          <w:color w:val="000000"/>
          <w:sz w:val="24"/>
          <w:szCs w:val="24"/>
        </w:rPr>
      </w:pPr>
      <w:r w:rsidRPr="00C96D22">
        <w:rPr>
          <w:rFonts w:ascii="Arial" w:eastAsia="Times New Roman" w:hAnsi="Arial" w:cs="Arial"/>
          <w:b/>
          <w:bCs/>
          <w:color w:val="000000"/>
          <w:sz w:val="24"/>
          <w:szCs w:val="24"/>
        </w:rPr>
        <w:t>Where to Start </w:t>
      </w:r>
      <w:r w:rsidRPr="00C96D22">
        <w:rPr>
          <w:rFonts w:ascii="Arial" w:eastAsia="Times New Roman" w:hAnsi="Arial" w:cs="Arial"/>
          <w:b/>
          <w:bCs/>
          <w:color w:val="000000"/>
          <w:sz w:val="24"/>
          <w:szCs w:val="24"/>
        </w:rPr>
        <w:br/>
      </w:r>
      <w:proofErr w:type="gramStart"/>
      <w:r w:rsidRPr="00C96D22">
        <w:rPr>
          <w:rFonts w:ascii="Arial" w:eastAsia="Times New Roman" w:hAnsi="Arial" w:cs="Arial"/>
          <w:color w:val="000000"/>
          <w:sz w:val="24"/>
          <w:szCs w:val="24"/>
        </w:rPr>
        <w:t>A</w:t>
      </w:r>
      <w:proofErr w:type="gramEnd"/>
      <w:r w:rsidRPr="00C96D22">
        <w:rPr>
          <w:rFonts w:ascii="Arial" w:eastAsia="Times New Roman" w:hAnsi="Arial" w:cs="Arial"/>
          <w:color w:val="000000"/>
          <w:sz w:val="24"/>
          <w:szCs w:val="24"/>
        </w:rPr>
        <w:t xml:space="preserve"> Monte Carlo simulation is an attempt to predict the future many times over. At the end of the simulation, thousands or millions of "random trials" produce a distribution of outcomes that can be analyzed. The basics steps are:</w:t>
      </w:r>
    </w:p>
    <w:p w:rsidR="00C96D22" w:rsidRDefault="00EE64EC" w:rsidP="00C96D22">
      <w:pPr>
        <w:spacing w:before="100" w:beforeAutospacing="1" w:after="100" w:afterAutospacing="1" w:line="240" w:lineRule="auto"/>
        <w:ind w:left="360"/>
        <w:rPr>
          <w:rFonts w:ascii="Arial" w:eastAsia="Times New Roman" w:hAnsi="Arial" w:cs="Arial"/>
          <w:color w:val="000000"/>
          <w:sz w:val="24"/>
          <w:szCs w:val="24"/>
        </w:rPr>
      </w:pPr>
      <w:r>
        <w:rPr>
          <w:rFonts w:ascii="Arial" w:hAnsi="Arial" w:cs="Arial"/>
          <w:color w:val="000000"/>
          <w:shd w:val="clear" w:color="auto" w:fill="FFFFFF"/>
        </w:rPr>
        <w:t>We</w:t>
      </w:r>
      <w:r w:rsidR="00C96D22">
        <w:rPr>
          <w:rFonts w:ascii="Arial" w:hAnsi="Arial" w:cs="Arial"/>
          <w:color w:val="000000"/>
          <w:shd w:val="clear" w:color="auto" w:fill="FFFFFF"/>
        </w:rPr>
        <w:t xml:space="preserve"> will use the geometric Brownian motion (GBM), which is technically a Markov process. This means that the stock price follows a </w:t>
      </w:r>
      <w:hyperlink r:id="rId8" w:history="1">
        <w:r w:rsidR="00C96D22">
          <w:rPr>
            <w:rStyle w:val="Hyperlink"/>
            <w:rFonts w:ascii="Arial" w:hAnsi="Arial" w:cs="Arial"/>
            <w:color w:val="005B9D"/>
            <w:u w:val="none"/>
          </w:rPr>
          <w:t>random walk</w:t>
        </w:r>
      </w:hyperlink>
      <w:r w:rsidR="00C96D22">
        <w:rPr>
          <w:rFonts w:ascii="Arial" w:hAnsi="Arial" w:cs="Arial"/>
          <w:color w:val="000000"/>
          <w:shd w:val="clear" w:color="auto" w:fill="FFFFFF"/>
        </w:rPr>
        <w:t> and is consistent with (at the very least) the </w:t>
      </w:r>
      <w:hyperlink r:id="rId9" w:history="1">
        <w:r w:rsidR="00C96D22">
          <w:rPr>
            <w:rStyle w:val="Hyperlink"/>
            <w:rFonts w:ascii="Arial" w:hAnsi="Arial" w:cs="Arial"/>
            <w:color w:val="005B9D"/>
            <w:u w:val="none"/>
          </w:rPr>
          <w:t>weak form</w:t>
        </w:r>
      </w:hyperlink>
      <w:r w:rsidR="00C96D22">
        <w:rPr>
          <w:rFonts w:ascii="Arial" w:hAnsi="Arial" w:cs="Arial"/>
          <w:color w:val="000000"/>
          <w:shd w:val="clear" w:color="auto" w:fill="FFFFFF"/>
        </w:rPr>
        <w:t> of the </w:t>
      </w:r>
      <w:hyperlink r:id="rId10" w:history="1">
        <w:r w:rsidR="00C96D22">
          <w:rPr>
            <w:rStyle w:val="Hyperlink"/>
            <w:rFonts w:ascii="Arial" w:hAnsi="Arial" w:cs="Arial"/>
            <w:color w:val="005B9D"/>
            <w:u w:val="none"/>
          </w:rPr>
          <w:t>efficient market hypothesis</w:t>
        </w:r>
      </w:hyperlink>
      <w:r w:rsidR="00C96D22">
        <w:rPr>
          <w:rFonts w:ascii="Arial" w:hAnsi="Arial" w:cs="Arial"/>
          <w:color w:val="000000"/>
          <w:shd w:val="clear" w:color="auto" w:fill="FFFFFF"/>
        </w:rPr>
        <w:t> (EMH): past price information is already incorporated and the next price movement is "conditionally independent" of past price movements.</w:t>
      </w:r>
      <w:r w:rsidR="00C96D22">
        <w:rPr>
          <w:rFonts w:ascii="Arial" w:hAnsi="Arial" w:cs="Arial"/>
          <w:color w:val="000000"/>
        </w:rPr>
        <w:br/>
      </w:r>
      <w:r>
        <w:rPr>
          <w:noProof/>
        </w:rPr>
        <w:drawing>
          <wp:inline distT="0" distB="0" distL="0" distR="0" wp14:anchorId="1F09E9E4" wp14:editId="790DBFEA">
            <wp:extent cx="1806575" cy="504324"/>
            <wp:effectExtent l="0" t="0" r="3175" b="0"/>
            <wp:docPr id="8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9575" cy="533078"/>
                    </a:xfrm>
                    <a:prstGeom prst="rect">
                      <a:avLst/>
                    </a:prstGeom>
                    <a:noFill/>
                    <a:ln>
                      <a:noFill/>
                    </a:ln>
                    <a:effectLst/>
                    <a:extLst/>
                  </pic:spPr>
                </pic:pic>
              </a:graphicData>
            </a:graphic>
          </wp:inline>
        </w:drawing>
      </w:r>
      <w:r w:rsidR="00C96D22">
        <w:rPr>
          <w:rFonts w:ascii="Arial" w:hAnsi="Arial" w:cs="Arial"/>
          <w:color w:val="000000"/>
        </w:rPr>
        <w:br/>
      </w:r>
      <w:r w:rsidR="00C96D22" w:rsidRPr="00C96D22">
        <w:rPr>
          <w:rFonts w:ascii="Arial" w:eastAsia="Times New Roman" w:hAnsi="Arial" w:cs="Arial"/>
          <w:color w:val="000000"/>
          <w:sz w:val="24"/>
          <w:szCs w:val="24"/>
        </w:rPr>
        <w:br/>
        <w:t>2. Generate random trials </w:t>
      </w:r>
    </w:p>
    <w:p w:rsidR="00C96D22" w:rsidRDefault="00C96D22" w:rsidP="00C96D22">
      <w:pPr>
        <w:spacing w:before="100" w:beforeAutospacing="1" w:after="100" w:afterAutospacing="1" w:line="240" w:lineRule="auto"/>
        <w:ind w:left="360"/>
        <w:rPr>
          <w:rFonts w:ascii="Arial" w:hAnsi="Arial" w:cs="Arial"/>
          <w:color w:val="111111"/>
          <w:sz w:val="26"/>
          <w:szCs w:val="26"/>
          <w:shd w:val="clear" w:color="auto" w:fill="FFFFFF"/>
        </w:rPr>
      </w:pPr>
      <w:r>
        <w:rPr>
          <w:rFonts w:ascii="Arial" w:hAnsi="Arial" w:cs="Arial"/>
          <w:color w:val="111111"/>
          <w:sz w:val="26"/>
          <w:szCs w:val="26"/>
          <w:shd w:val="clear" w:color="auto" w:fill="FFFFFF"/>
        </w:rPr>
        <w:t>To illustrate, we've </w:t>
      </w:r>
      <w:hyperlink r:id="rId12" w:history="1">
        <w:r>
          <w:rPr>
            <w:rStyle w:val="Hyperlink"/>
            <w:rFonts w:ascii="Arial" w:hAnsi="Arial" w:cs="Arial"/>
            <w:color w:val="005B9D"/>
            <w:sz w:val="26"/>
            <w:szCs w:val="26"/>
            <w:u w:val="none"/>
            <w:shd w:val="clear" w:color="auto" w:fill="FFFFFF"/>
          </w:rPr>
          <w:t>used Microsoft Excel</w:t>
        </w:r>
      </w:hyperlink>
      <w:r>
        <w:rPr>
          <w:rFonts w:ascii="Arial" w:hAnsi="Arial" w:cs="Arial"/>
          <w:color w:val="111111"/>
          <w:sz w:val="26"/>
          <w:szCs w:val="26"/>
          <w:shd w:val="clear" w:color="auto" w:fill="FFFFFF"/>
        </w:rPr>
        <w:t> to run 40 trials. </w:t>
      </w:r>
    </w:p>
    <w:tbl>
      <w:tblPr>
        <w:tblW w:w="5726" w:type="dxa"/>
        <w:jc w:val="center"/>
        <w:shd w:val="clear" w:color="auto" w:fill="FFFFFF"/>
        <w:tblCellMar>
          <w:left w:w="0" w:type="dxa"/>
          <w:right w:w="0" w:type="dxa"/>
        </w:tblCellMar>
        <w:tblLook w:val="04A0" w:firstRow="1" w:lastRow="0" w:firstColumn="1" w:lastColumn="0" w:noHBand="0" w:noVBand="1"/>
      </w:tblPr>
      <w:tblGrid>
        <w:gridCol w:w="2777"/>
        <w:gridCol w:w="2949"/>
      </w:tblGrid>
      <w:tr w:rsidR="00E814C0" w:rsidRPr="00E814C0" w:rsidTr="00E814C0">
        <w:trPr>
          <w:trHeight w:val="4706"/>
          <w:jc w:val="center"/>
        </w:trPr>
        <w:tc>
          <w:tcPr>
            <w:tcW w:w="0" w:type="auto"/>
            <w:shd w:val="clear" w:color="auto" w:fill="FFFFFF"/>
            <w:vAlign w:val="center"/>
            <w:hideMark/>
          </w:tcPr>
          <w:p w:rsidR="00E814C0" w:rsidRPr="00E814C0" w:rsidRDefault="00E814C0" w:rsidP="00E814C0">
            <w:pPr>
              <w:spacing w:after="0" w:line="240" w:lineRule="auto"/>
              <w:rPr>
                <w:rFonts w:ascii="Arial" w:eastAsia="Times New Roman" w:hAnsi="Arial" w:cs="Arial"/>
                <w:color w:val="111111"/>
                <w:sz w:val="26"/>
                <w:szCs w:val="26"/>
              </w:rPr>
            </w:pPr>
            <w:r w:rsidRPr="00E814C0">
              <w:rPr>
                <w:rFonts w:ascii="Arial" w:eastAsia="Times New Roman" w:hAnsi="Arial" w:cs="Arial"/>
                <w:noProof/>
                <w:color w:val="111111"/>
                <w:sz w:val="26"/>
                <w:szCs w:val="26"/>
              </w:rPr>
              <w:drawing>
                <wp:inline distT="0" distB="0" distL="0" distR="0">
                  <wp:extent cx="1381125" cy="2424015"/>
                  <wp:effectExtent l="0" t="0" r="0" b="0"/>
                  <wp:docPr id="3" name="Picture 3" descr="CT-MonteCarlo4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MonteCarlo4ra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6593" cy="2468714"/>
                          </a:xfrm>
                          <a:prstGeom prst="rect">
                            <a:avLst/>
                          </a:prstGeom>
                          <a:noFill/>
                          <a:ln>
                            <a:noFill/>
                          </a:ln>
                        </pic:spPr>
                      </pic:pic>
                    </a:graphicData>
                  </a:graphic>
                </wp:inline>
              </w:drawing>
            </w:r>
          </w:p>
        </w:tc>
        <w:tc>
          <w:tcPr>
            <w:tcW w:w="0" w:type="auto"/>
            <w:shd w:val="clear" w:color="auto" w:fill="FFFFFF"/>
            <w:vAlign w:val="center"/>
            <w:hideMark/>
          </w:tcPr>
          <w:p w:rsidR="00E814C0" w:rsidRPr="00E814C0" w:rsidRDefault="00E814C0" w:rsidP="00E814C0">
            <w:pPr>
              <w:spacing w:after="0" w:line="240" w:lineRule="auto"/>
              <w:rPr>
                <w:rFonts w:ascii="Arial" w:eastAsia="Times New Roman" w:hAnsi="Arial" w:cs="Arial"/>
                <w:color w:val="111111"/>
                <w:sz w:val="26"/>
                <w:szCs w:val="26"/>
              </w:rPr>
            </w:pPr>
            <w:r w:rsidRPr="00E814C0">
              <w:rPr>
                <w:rFonts w:ascii="Arial" w:eastAsia="Times New Roman" w:hAnsi="Arial" w:cs="Arial"/>
                <w:noProof/>
                <w:color w:val="111111"/>
                <w:sz w:val="26"/>
                <w:szCs w:val="26"/>
              </w:rPr>
              <w:drawing>
                <wp:inline distT="0" distB="0" distL="0" distR="0">
                  <wp:extent cx="1464197" cy="2409825"/>
                  <wp:effectExtent l="0" t="0" r="3175" b="0"/>
                  <wp:docPr id="2" name="Picture 2" descr="CT-MonteCarlo45r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MonteCarlo45ra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6700" cy="2446861"/>
                          </a:xfrm>
                          <a:prstGeom prst="rect">
                            <a:avLst/>
                          </a:prstGeom>
                          <a:noFill/>
                          <a:ln>
                            <a:noFill/>
                          </a:ln>
                        </pic:spPr>
                      </pic:pic>
                    </a:graphicData>
                  </a:graphic>
                </wp:inline>
              </w:drawing>
            </w:r>
          </w:p>
        </w:tc>
      </w:tr>
    </w:tbl>
    <w:p w:rsidR="00E814C0" w:rsidRPr="00E814C0" w:rsidRDefault="00E814C0" w:rsidP="00E814C0">
      <w:pPr>
        <w:spacing w:after="0" w:line="240" w:lineRule="auto"/>
        <w:rPr>
          <w:rFonts w:ascii="Times New Roman" w:eastAsia="Times New Roman" w:hAnsi="Times New Roman" w:cs="Times New Roman"/>
          <w:vanish/>
          <w:sz w:val="24"/>
          <w:szCs w:val="24"/>
        </w:rPr>
      </w:pPr>
    </w:p>
    <w:tbl>
      <w:tblPr>
        <w:tblW w:w="4800" w:type="dxa"/>
        <w:jc w:val="center"/>
        <w:shd w:val="clear" w:color="auto" w:fill="FFFFFF"/>
        <w:tblCellMar>
          <w:left w:w="0" w:type="dxa"/>
          <w:right w:w="0" w:type="dxa"/>
        </w:tblCellMar>
        <w:tblLook w:val="04A0" w:firstRow="1" w:lastRow="0" w:firstColumn="1" w:lastColumn="0" w:noHBand="0" w:noVBand="1"/>
        <w:tblCaption w:val=""/>
        <w:tblDescription w:val=""/>
      </w:tblPr>
      <w:tblGrid>
        <w:gridCol w:w="4800"/>
      </w:tblGrid>
      <w:tr w:rsidR="00E814C0" w:rsidRPr="00E814C0" w:rsidTr="00E814C0">
        <w:trPr>
          <w:jc w:val="center"/>
        </w:trPr>
        <w:tc>
          <w:tcPr>
            <w:tcW w:w="0" w:type="auto"/>
            <w:shd w:val="clear" w:color="auto" w:fill="FFFFFF"/>
            <w:vAlign w:val="center"/>
            <w:hideMark/>
          </w:tcPr>
          <w:p w:rsidR="00E814C0" w:rsidRPr="00E814C0" w:rsidRDefault="00E814C0" w:rsidP="00E814C0">
            <w:pPr>
              <w:spacing w:after="0" w:line="240" w:lineRule="auto"/>
              <w:rPr>
                <w:rFonts w:ascii="Arial" w:eastAsia="Times New Roman" w:hAnsi="Arial" w:cs="Arial"/>
                <w:color w:val="111111"/>
                <w:sz w:val="26"/>
                <w:szCs w:val="26"/>
              </w:rPr>
            </w:pPr>
            <w:r w:rsidRPr="00E814C0">
              <w:rPr>
                <w:rFonts w:ascii="Arial" w:eastAsia="Times New Roman" w:hAnsi="Arial" w:cs="Arial"/>
                <w:color w:val="111111"/>
                <w:sz w:val="26"/>
                <w:szCs w:val="26"/>
              </w:rPr>
              <w:t>Figure 2: Geometric Brownian Motion</w:t>
            </w:r>
          </w:p>
        </w:tc>
      </w:tr>
    </w:tbl>
    <w:p w:rsidR="00C96D22" w:rsidRDefault="00C96D22" w:rsidP="00C96D22">
      <w:pPr>
        <w:spacing w:before="100" w:beforeAutospacing="1" w:after="100" w:afterAutospacing="1" w:line="240" w:lineRule="auto"/>
        <w:ind w:left="360"/>
        <w:rPr>
          <w:rFonts w:ascii="Arial" w:hAnsi="Arial" w:cs="Arial"/>
          <w:color w:val="111111"/>
          <w:sz w:val="26"/>
          <w:szCs w:val="26"/>
          <w:shd w:val="clear" w:color="auto" w:fill="FFFFFF"/>
        </w:rPr>
      </w:pPr>
    </w:p>
    <w:p w:rsidR="00C96D22" w:rsidRPr="00C96D22" w:rsidRDefault="00C96D22" w:rsidP="00C96D22">
      <w:pPr>
        <w:spacing w:before="100" w:beforeAutospacing="1" w:after="100" w:afterAutospacing="1" w:line="240" w:lineRule="auto"/>
        <w:ind w:left="360"/>
        <w:rPr>
          <w:rFonts w:ascii="Arial" w:eastAsia="Times New Roman" w:hAnsi="Arial" w:cs="Arial"/>
          <w:color w:val="000000"/>
          <w:sz w:val="24"/>
          <w:szCs w:val="24"/>
        </w:rPr>
      </w:pPr>
      <w:r w:rsidRPr="00C96D22">
        <w:rPr>
          <w:rFonts w:ascii="Arial" w:eastAsia="Times New Roman" w:hAnsi="Arial" w:cs="Arial"/>
          <w:color w:val="000000"/>
          <w:sz w:val="24"/>
          <w:szCs w:val="24"/>
        </w:rPr>
        <w:br/>
        <w:t>3. Process the output</w:t>
      </w:r>
    </w:p>
    <w:p w:rsidR="00EE64EC" w:rsidRDefault="00E814C0">
      <w:pPr>
        <w:rPr>
          <w:rFonts w:ascii="Arial" w:hAnsi="Arial" w:cs="Arial"/>
          <w:color w:val="000000"/>
        </w:rPr>
      </w:pPr>
      <w:r>
        <w:rPr>
          <w:rFonts w:ascii="Arial" w:hAnsi="Arial" w:cs="Arial"/>
          <w:color w:val="000000"/>
          <w:shd w:val="clear" w:color="auto" w:fill="FFFFFF"/>
        </w:rPr>
        <w:lastRenderedPageBreak/>
        <w:t xml:space="preserve">The simulation produced a distribution of hypothetical future outcomes. We could do several things with the output. If, for example, we want to estimate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with 95% confidence, then we only need to locate the thirty-eighth-ranked outcome (the third-worst outcome). That's because 2/40 equals 5%, so the two worst outcomes are in the lowest 5%.</w:t>
      </w:r>
      <w:r>
        <w:rPr>
          <w:rFonts w:ascii="Arial" w:hAnsi="Arial" w:cs="Arial"/>
          <w:color w:val="000000"/>
        </w:rPr>
        <w:br/>
      </w:r>
      <w:r>
        <w:rPr>
          <w:rFonts w:ascii="Arial" w:hAnsi="Arial" w:cs="Arial"/>
          <w:color w:val="000000"/>
        </w:rPr>
        <w:br/>
      </w:r>
      <w:r>
        <w:rPr>
          <w:noProof/>
        </w:rPr>
        <w:drawing>
          <wp:inline distT="0" distB="0" distL="0" distR="0">
            <wp:extent cx="2867025" cy="1898608"/>
            <wp:effectExtent l="0" t="0" r="0" b="6985"/>
            <wp:docPr id="4" name="Picture 4" descr="CT-MonteCarlo5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MonteCarlo5r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9252" cy="1919950"/>
                    </a:xfrm>
                    <a:prstGeom prst="rect">
                      <a:avLst/>
                    </a:prstGeom>
                    <a:noFill/>
                    <a:ln>
                      <a:noFill/>
                    </a:ln>
                  </pic:spPr>
                </pic:pic>
              </a:graphicData>
            </a:graphic>
          </wp:inline>
        </w:drawing>
      </w:r>
      <w:r w:rsidR="00EE64EC">
        <w:rPr>
          <w:noProof/>
        </w:rPr>
        <w:drawing>
          <wp:inline distT="0" distB="0" distL="0" distR="0" wp14:anchorId="101904D8" wp14:editId="2ADB8100">
            <wp:extent cx="2546902" cy="1952625"/>
            <wp:effectExtent l="0" t="0" r="6350" b="0"/>
            <wp:docPr id="5" name="Picture 5" descr="CT-MonteCarlo6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MonteCarlo6r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1310" cy="1956004"/>
                    </a:xfrm>
                    <a:prstGeom prst="rect">
                      <a:avLst/>
                    </a:prstGeom>
                    <a:noFill/>
                    <a:ln>
                      <a:noFill/>
                    </a:ln>
                  </pic:spPr>
                </pic:pic>
              </a:graphicData>
            </a:graphic>
          </wp:inline>
        </w:drawing>
      </w:r>
    </w:p>
    <w:p w:rsidR="00EE64EC" w:rsidRPr="00EE64EC" w:rsidRDefault="00EE64EC" w:rsidP="00EE64EC">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EE64EC">
        <w:rPr>
          <w:rFonts w:ascii="Arial" w:eastAsia="Times New Roman" w:hAnsi="Arial" w:cs="Arial"/>
          <w:color w:val="111111"/>
          <w:sz w:val="26"/>
          <w:szCs w:val="26"/>
        </w:rPr>
        <w:t>Price </w:t>
      </w:r>
      <w:r w:rsidRPr="00EE64EC">
        <w:rPr>
          <w:rFonts w:ascii="Arial" w:eastAsia="Times New Roman" w:hAnsi="Arial" w:cs="Arial"/>
          <w:i/>
          <w:iCs/>
          <w:color w:val="111111"/>
          <w:sz w:val="26"/>
          <w:szCs w:val="26"/>
        </w:rPr>
        <w:t>returns</w:t>
      </w:r>
      <w:r w:rsidRPr="00EE64EC">
        <w:rPr>
          <w:rFonts w:ascii="Arial" w:eastAsia="Times New Roman" w:hAnsi="Arial" w:cs="Arial"/>
          <w:color w:val="111111"/>
          <w:sz w:val="26"/>
          <w:szCs w:val="26"/>
        </w:rPr>
        <w:t> are normally distributed.</w:t>
      </w:r>
    </w:p>
    <w:p w:rsidR="00EE64EC" w:rsidRPr="00EE64EC" w:rsidRDefault="00EE64EC" w:rsidP="00EE64EC">
      <w:pPr>
        <w:numPr>
          <w:ilvl w:val="0"/>
          <w:numId w:val="2"/>
        </w:numPr>
        <w:shd w:val="clear" w:color="auto" w:fill="FFFFFF"/>
        <w:spacing w:before="100" w:beforeAutospacing="1" w:after="100" w:afterAutospacing="1" w:line="240" w:lineRule="auto"/>
        <w:rPr>
          <w:rFonts w:ascii="Arial" w:eastAsia="Times New Roman" w:hAnsi="Arial" w:cs="Arial"/>
          <w:color w:val="111111"/>
          <w:sz w:val="26"/>
          <w:szCs w:val="26"/>
        </w:rPr>
      </w:pPr>
      <w:r w:rsidRPr="00EE64EC">
        <w:rPr>
          <w:rFonts w:ascii="Arial" w:eastAsia="Times New Roman" w:hAnsi="Arial" w:cs="Arial"/>
          <w:color w:val="111111"/>
          <w:sz w:val="26"/>
          <w:szCs w:val="26"/>
        </w:rPr>
        <w:t>Price </w:t>
      </w:r>
      <w:r w:rsidRPr="00EE64EC">
        <w:rPr>
          <w:rFonts w:ascii="Arial" w:eastAsia="Times New Roman" w:hAnsi="Arial" w:cs="Arial"/>
          <w:i/>
          <w:iCs/>
          <w:color w:val="111111"/>
          <w:sz w:val="26"/>
          <w:szCs w:val="26"/>
        </w:rPr>
        <w:t>levels</w:t>
      </w:r>
      <w:r w:rsidRPr="00EE64EC">
        <w:rPr>
          <w:rFonts w:ascii="Arial" w:eastAsia="Times New Roman" w:hAnsi="Arial" w:cs="Arial"/>
          <w:color w:val="111111"/>
          <w:sz w:val="26"/>
          <w:szCs w:val="26"/>
        </w:rPr>
        <w:t> are log-normally distributed.</w:t>
      </w:r>
    </w:p>
    <w:p w:rsidR="00EE64EC" w:rsidRDefault="00EE64EC">
      <w:pPr>
        <w:rPr>
          <w:rFonts w:ascii="Arial" w:hAnsi="Arial" w:cs="Arial"/>
          <w:color w:val="000000"/>
        </w:rPr>
      </w:pPr>
    </w:p>
    <w:p w:rsidR="00956ED1" w:rsidRDefault="00956ED1">
      <w:pPr>
        <w:rPr>
          <w:rFonts w:ascii="Arial" w:hAnsi="Arial" w:cs="Arial"/>
          <w:b/>
          <w:color w:val="000000"/>
          <w:shd w:val="clear" w:color="auto" w:fill="FFFFFF"/>
        </w:rPr>
      </w:pPr>
      <w:r>
        <w:rPr>
          <w:rFonts w:ascii="Arial" w:hAnsi="Arial" w:cs="Arial"/>
          <w:b/>
          <w:color w:val="000000"/>
          <w:shd w:val="clear" w:color="auto" w:fill="FFFFFF"/>
        </w:rPr>
        <w:br w:type="page"/>
      </w:r>
    </w:p>
    <w:p w:rsidR="001473CD" w:rsidRDefault="00214711" w:rsidP="00D012C2">
      <w:pPr>
        <w:rPr>
          <w:rFonts w:ascii="Arial" w:eastAsia="Times New Roman" w:hAnsi="Arial" w:cs="Arial"/>
          <w:color w:val="000000"/>
          <w:sz w:val="24"/>
          <w:szCs w:val="24"/>
        </w:rPr>
      </w:pPr>
      <w:proofErr w:type="spellStart"/>
      <w:r w:rsidRPr="00D012C2">
        <w:rPr>
          <w:rFonts w:ascii="Arial" w:hAnsi="Arial" w:cs="Arial"/>
          <w:b/>
          <w:color w:val="000000"/>
          <w:shd w:val="clear" w:color="auto" w:fill="FFFFFF"/>
        </w:rPr>
        <w:lastRenderedPageBreak/>
        <w:t>VaR</w:t>
      </w:r>
      <w:proofErr w:type="spellEnd"/>
      <w:r w:rsidR="00D012C2" w:rsidRPr="00D012C2">
        <w:rPr>
          <w:rFonts w:ascii="Arial" w:hAnsi="Arial" w:cs="Arial"/>
          <w:b/>
          <w:color w:val="000000"/>
          <w:shd w:val="clear" w:color="auto" w:fill="FFFFFF"/>
        </w:rPr>
        <w:t xml:space="preserve"> </w:t>
      </w:r>
      <w:r w:rsidR="00D012C2">
        <w:rPr>
          <w:rFonts w:ascii="Arial" w:hAnsi="Arial" w:cs="Arial"/>
          <w:color w:val="000000"/>
          <w:shd w:val="clear" w:color="auto" w:fill="FFFFFF"/>
        </w:rPr>
        <w:t>(value at risk)</w:t>
      </w:r>
      <w:r>
        <w:rPr>
          <w:rFonts w:ascii="Arial" w:hAnsi="Arial" w:cs="Arial"/>
          <w:color w:val="000000"/>
          <w:shd w:val="clear" w:color="auto" w:fill="FFFFFF"/>
        </w:rPr>
        <w:t xml:space="preserve"> modeling determines the potential for loss in the entity being assessed, as well as the probability of occurrence for the defined loss.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is measured by assessing the amount of potential loss, the probability of occurrence for the amount of loss and the time frame.</w:t>
      </w:r>
      <w:r>
        <w:rPr>
          <w:rFonts w:ascii="Arial" w:hAnsi="Arial" w:cs="Arial"/>
          <w:color w:val="000000"/>
        </w:rPr>
        <w:br/>
      </w:r>
    </w:p>
    <w:p w:rsidR="00D012C2" w:rsidRDefault="00D012C2" w:rsidP="00D012C2">
      <w:pPr>
        <w:rPr>
          <w:rFonts w:ascii="Arial" w:eastAsia="Times New Roman" w:hAnsi="Arial" w:cs="Arial"/>
          <w:color w:val="000000"/>
          <w:sz w:val="24"/>
          <w:szCs w:val="24"/>
        </w:rPr>
      </w:pPr>
      <w:r w:rsidRPr="00D012C2">
        <w:rPr>
          <w:rFonts w:ascii="Arial" w:eastAsia="Times New Roman" w:hAnsi="Arial" w:cs="Arial"/>
          <w:color w:val="000000"/>
          <w:sz w:val="24"/>
          <w:szCs w:val="24"/>
        </w:rPr>
        <w:t>There is no standard protocol for the statistics used to determine asset, portfolio or firm-wide risk. For example, statistics pulled arbitrarily from a period of low volatility may understate the potential for risk events to occur, as well as the potential magnitude. Risk may be further understated using normal distribution probabilities, which generally do not account for extreme or black swan events.</w:t>
      </w:r>
    </w:p>
    <w:p w:rsidR="00D012C2" w:rsidRDefault="00D012C2" w:rsidP="00D012C2">
      <w:pPr>
        <w:rPr>
          <w:rFonts w:ascii="Arial" w:eastAsia="Times New Roman" w:hAnsi="Arial" w:cs="Arial"/>
          <w:color w:val="000000"/>
          <w:sz w:val="24"/>
          <w:szCs w:val="24"/>
        </w:rPr>
      </w:pPr>
      <w:r>
        <w:rPr>
          <w:rFonts w:ascii="Arial" w:hAnsi="Arial" w:cs="Arial"/>
          <w:color w:val="000000"/>
          <w:shd w:val="clear" w:color="auto" w:fill="FFFFFF"/>
        </w:rPr>
        <w:t>Since </w:t>
      </w:r>
      <w:hyperlink r:id="rId17" w:history="1">
        <w:r>
          <w:rPr>
            <w:rStyle w:val="Hyperlink"/>
            <w:rFonts w:ascii="Arial" w:hAnsi="Arial" w:cs="Arial"/>
            <w:color w:val="005B9D"/>
            <w:u w:val="none"/>
          </w:rPr>
          <w:t>value at risk</w:t>
        </w:r>
      </w:hyperlink>
      <w:r>
        <w:rPr>
          <w:rFonts w:ascii="Arial" w:hAnsi="Arial" w:cs="Arial"/>
          <w:color w:val="000000"/>
          <w:shd w:val="clear" w:color="auto" w:fill="FFFFFF"/>
        </w:rPr>
        <w:t> is affected by the </w:t>
      </w:r>
      <w:hyperlink r:id="rId18" w:history="1">
        <w:r>
          <w:rPr>
            <w:rStyle w:val="Hyperlink"/>
            <w:rFonts w:ascii="Arial" w:hAnsi="Arial" w:cs="Arial"/>
            <w:color w:val="005B9D"/>
            <w:u w:val="none"/>
          </w:rPr>
          <w:t>correlation of investment positions</w:t>
        </w:r>
      </w:hyperlink>
      <w:r>
        <w:rPr>
          <w:rFonts w:ascii="Arial" w:hAnsi="Arial" w:cs="Arial"/>
          <w:color w:val="000000"/>
          <w:shd w:val="clear" w:color="auto" w:fill="FFFFFF"/>
        </w:rPr>
        <w:t xml:space="preserve">, it is not enough to consider an individual investment's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level in isolation. Rather, it must be compared with the total </w:t>
      </w:r>
      <w:hyperlink r:id="rId19" w:history="1">
        <w:r>
          <w:rPr>
            <w:rStyle w:val="Hyperlink"/>
            <w:rFonts w:ascii="Arial" w:hAnsi="Arial" w:cs="Arial"/>
            <w:color w:val="005B9D"/>
            <w:u w:val="none"/>
          </w:rPr>
          <w:t>portfolio</w:t>
        </w:r>
      </w:hyperlink>
      <w:r>
        <w:rPr>
          <w:rFonts w:ascii="Arial" w:hAnsi="Arial" w:cs="Arial"/>
          <w:color w:val="000000"/>
          <w:shd w:val="clear" w:color="auto" w:fill="FFFFFF"/>
        </w:rPr>
        <w:t xml:space="preserve"> to determine what contribution is makes to the portfolio's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amount.</w:t>
      </w:r>
      <w:r>
        <w:rPr>
          <w:rFonts w:ascii="Arial" w:hAnsi="Arial" w:cs="Arial"/>
          <w:color w:val="000000"/>
        </w:rPr>
        <w:br/>
      </w:r>
      <w:r>
        <w:rPr>
          <w:rFonts w:ascii="Arial" w:hAnsi="Arial" w:cs="Arial"/>
          <w:color w:val="000000"/>
        </w:rPr>
        <w:br/>
      </w:r>
    </w:p>
    <w:p w:rsidR="001473CD" w:rsidRDefault="00D012C2" w:rsidP="00D012C2">
      <w:pPr>
        <w:rPr>
          <w:rFonts w:ascii="Arial" w:eastAsia="Times New Roman" w:hAnsi="Arial" w:cs="Arial"/>
          <w:b/>
          <w:color w:val="000000"/>
          <w:sz w:val="24"/>
          <w:szCs w:val="24"/>
        </w:rPr>
      </w:pPr>
      <w:r w:rsidRPr="00D012C2">
        <w:rPr>
          <w:rFonts w:ascii="Arial" w:eastAsia="Times New Roman" w:hAnsi="Arial" w:cs="Arial"/>
          <w:b/>
          <w:color w:val="000000"/>
          <w:sz w:val="24"/>
          <w:szCs w:val="24"/>
        </w:rPr>
        <w:t xml:space="preserve">Marginal </w:t>
      </w:r>
      <w:proofErr w:type="spellStart"/>
      <w:r w:rsidRPr="00D012C2">
        <w:rPr>
          <w:rFonts w:ascii="Arial" w:eastAsia="Times New Roman" w:hAnsi="Arial" w:cs="Arial"/>
          <w:b/>
          <w:color w:val="000000"/>
          <w:sz w:val="24"/>
          <w:szCs w:val="24"/>
        </w:rPr>
        <w:t>VaR</w:t>
      </w:r>
      <w:proofErr w:type="spellEnd"/>
      <w:r w:rsidR="001473CD">
        <w:rPr>
          <w:rFonts w:ascii="Arial" w:eastAsia="Times New Roman" w:hAnsi="Arial" w:cs="Arial"/>
          <w:b/>
          <w:color w:val="000000"/>
          <w:sz w:val="24"/>
          <w:szCs w:val="24"/>
        </w:rPr>
        <w:t xml:space="preserve">  </w:t>
      </w:r>
    </w:p>
    <w:p w:rsidR="0029725B" w:rsidRPr="001473CD" w:rsidRDefault="0029725B" w:rsidP="00D012C2">
      <w:pPr>
        <w:rPr>
          <w:rFonts w:ascii="Arial" w:eastAsia="Times New Roman" w:hAnsi="Arial" w:cs="Arial"/>
          <w:b/>
          <w:color w:val="000000"/>
          <w:sz w:val="24"/>
          <w:szCs w:val="24"/>
        </w:rPr>
      </w:pPr>
      <w:r>
        <w:rPr>
          <w:rFonts w:ascii="Arial" w:hAnsi="Arial" w:cs="Arial"/>
          <w:color w:val="000000"/>
          <w:shd w:val="clear" w:color="auto" w:fill="FFFFFF"/>
        </w:rPr>
        <w:t>The additional amount of risk that a new </w:t>
      </w:r>
      <w:hyperlink r:id="rId20" w:history="1">
        <w:r>
          <w:rPr>
            <w:rStyle w:val="Hyperlink"/>
            <w:rFonts w:ascii="Arial" w:hAnsi="Arial" w:cs="Arial"/>
            <w:color w:val="005B9D"/>
            <w:u w:val="none"/>
          </w:rPr>
          <w:t>investment</w:t>
        </w:r>
      </w:hyperlink>
      <w:r>
        <w:rPr>
          <w:rFonts w:ascii="Arial" w:hAnsi="Arial" w:cs="Arial"/>
          <w:color w:val="000000"/>
          <w:shd w:val="clear" w:color="auto" w:fill="FFFFFF"/>
        </w:rPr>
        <w:t xml:space="preserve"> position adds to a portfolio. Marginal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(value at risk) allows risk managers to study the effects of adding or subtracting positions from an investment portfolio. Since </w:t>
      </w:r>
      <w:hyperlink r:id="rId21" w:history="1">
        <w:r>
          <w:rPr>
            <w:rStyle w:val="Hyperlink"/>
            <w:rFonts w:ascii="Arial" w:hAnsi="Arial" w:cs="Arial"/>
            <w:color w:val="005B9D"/>
            <w:u w:val="none"/>
          </w:rPr>
          <w:t>value at risk</w:t>
        </w:r>
      </w:hyperlink>
      <w:r>
        <w:rPr>
          <w:rFonts w:ascii="Arial" w:hAnsi="Arial" w:cs="Arial"/>
          <w:color w:val="000000"/>
          <w:shd w:val="clear" w:color="auto" w:fill="FFFFFF"/>
        </w:rPr>
        <w:t> is affected by the </w:t>
      </w:r>
      <w:hyperlink r:id="rId22" w:history="1">
        <w:r>
          <w:rPr>
            <w:rStyle w:val="Hyperlink"/>
            <w:rFonts w:ascii="Arial" w:hAnsi="Arial" w:cs="Arial"/>
            <w:color w:val="005B9D"/>
            <w:u w:val="none"/>
          </w:rPr>
          <w:t>correlation of investment positions</w:t>
        </w:r>
      </w:hyperlink>
      <w:r>
        <w:rPr>
          <w:rFonts w:ascii="Arial" w:hAnsi="Arial" w:cs="Arial"/>
          <w:color w:val="000000"/>
          <w:shd w:val="clear" w:color="auto" w:fill="FFFFFF"/>
        </w:rPr>
        <w:t xml:space="preserve">, it is not enough to consider an individual investment's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level in isolation. Rather, it must be compared with the total </w:t>
      </w:r>
      <w:hyperlink r:id="rId23" w:history="1">
        <w:r>
          <w:rPr>
            <w:rStyle w:val="Hyperlink"/>
            <w:rFonts w:ascii="Arial" w:hAnsi="Arial" w:cs="Arial"/>
            <w:color w:val="005B9D"/>
            <w:u w:val="none"/>
          </w:rPr>
          <w:t>portfolio</w:t>
        </w:r>
      </w:hyperlink>
      <w:r>
        <w:rPr>
          <w:rFonts w:ascii="Arial" w:hAnsi="Arial" w:cs="Arial"/>
          <w:color w:val="000000"/>
          <w:shd w:val="clear" w:color="auto" w:fill="FFFFFF"/>
        </w:rPr>
        <w:t xml:space="preserve"> to determine what contribution is makes to the portfolio's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amount.</w:t>
      </w:r>
      <w:r>
        <w:rPr>
          <w:rFonts w:ascii="Arial" w:hAnsi="Arial" w:cs="Arial"/>
          <w:color w:val="000000"/>
        </w:rPr>
        <w:br/>
      </w:r>
      <w:r>
        <w:rPr>
          <w:rFonts w:ascii="Arial" w:hAnsi="Arial" w:cs="Arial"/>
          <w:color w:val="000000"/>
        </w:rPr>
        <w:br/>
      </w:r>
      <w:r w:rsidRPr="001473CD">
        <w:rPr>
          <w:rFonts w:ascii="Arial" w:hAnsi="Arial" w:cs="Arial"/>
          <w:b/>
          <w:color w:val="000000"/>
          <w:shd w:val="clear" w:color="auto" w:fill="FFFFFF"/>
        </w:rPr>
        <w:t>Incremental Value At Risk</w:t>
      </w:r>
      <w:r w:rsidR="001473CD">
        <w:rPr>
          <w:rFonts w:ascii="Arial" w:hAnsi="Arial" w:cs="Arial"/>
          <w:color w:val="292F40"/>
          <w:sz w:val="69"/>
          <w:szCs w:val="69"/>
          <w:shd w:val="clear" w:color="auto" w:fill="FFFFFF"/>
        </w:rPr>
        <w:t xml:space="preserve"> </w:t>
      </w:r>
      <w:r>
        <w:rPr>
          <w:rFonts w:ascii="Arial" w:hAnsi="Arial" w:cs="Arial"/>
          <w:color w:val="000000"/>
          <w:shd w:val="clear" w:color="auto" w:fill="FFFFFF"/>
        </w:rPr>
        <w:t xml:space="preserve">The amount of uncertainty added to or subtracted from a portfolio by purchasing a new investment or selling an existing investment. Investors use incremental </w:t>
      </w:r>
      <w:proofErr w:type="spellStart"/>
      <w:r>
        <w:rPr>
          <w:rFonts w:ascii="Arial" w:hAnsi="Arial" w:cs="Arial"/>
          <w:color w:val="000000"/>
          <w:shd w:val="clear" w:color="auto" w:fill="FFFFFF"/>
        </w:rPr>
        <w:t>VaR</w:t>
      </w:r>
      <w:proofErr w:type="spellEnd"/>
      <w:r>
        <w:rPr>
          <w:rFonts w:ascii="Arial" w:hAnsi="Arial" w:cs="Arial"/>
          <w:color w:val="000000"/>
          <w:shd w:val="clear" w:color="auto" w:fill="FFFFFF"/>
        </w:rPr>
        <w:t xml:space="preserve"> to determine whether a particular investment should be undertaken, given its likely impact on potential portfolio losses. </w:t>
      </w:r>
      <w:r>
        <w:rPr>
          <w:rFonts w:ascii="Arial" w:hAnsi="Arial" w:cs="Arial"/>
          <w:color w:val="000000"/>
        </w:rPr>
        <w:br/>
      </w:r>
    </w:p>
    <w:p w:rsidR="001473CD" w:rsidRDefault="001473CD" w:rsidP="00D012C2">
      <w:pPr>
        <w:rPr>
          <w:rFonts w:ascii="Arial" w:eastAsia="Times New Roman" w:hAnsi="Arial" w:cs="Arial"/>
          <w:color w:val="000000"/>
          <w:sz w:val="24"/>
          <w:szCs w:val="24"/>
        </w:rPr>
      </w:pPr>
      <w:r w:rsidRPr="001473CD">
        <w:rPr>
          <w:rFonts w:ascii="Arial" w:hAnsi="Arial" w:cs="Arial"/>
          <w:b/>
          <w:color w:val="000000"/>
          <w:shd w:val="clear" w:color="auto" w:fill="FFFFFF"/>
        </w:rPr>
        <w:t>Market risk</w:t>
      </w:r>
      <w:r>
        <w:rPr>
          <w:rFonts w:ascii="Arial" w:hAnsi="Arial" w:cs="Arial"/>
          <w:color w:val="000000"/>
          <w:shd w:val="clear" w:color="auto" w:fill="FFFFFF"/>
        </w:rPr>
        <w:t>, also called "</w:t>
      </w:r>
      <w:hyperlink r:id="rId24" w:history="1">
        <w:r>
          <w:rPr>
            <w:rStyle w:val="Hyperlink"/>
            <w:rFonts w:ascii="Arial" w:hAnsi="Arial" w:cs="Arial"/>
            <w:color w:val="005B9D"/>
            <w:u w:val="none"/>
          </w:rPr>
          <w:t>systematic risk</w:t>
        </w:r>
      </w:hyperlink>
      <w:r>
        <w:rPr>
          <w:rFonts w:ascii="Arial" w:hAnsi="Arial" w:cs="Arial"/>
          <w:color w:val="000000"/>
          <w:shd w:val="clear" w:color="auto" w:fill="FFFFFF"/>
        </w:rPr>
        <w:t xml:space="preserve">," cannot be eliminated through diversification, though it can be hedged </w:t>
      </w:r>
      <w:proofErr w:type="spellStart"/>
      <w:r>
        <w:rPr>
          <w:rFonts w:ascii="Arial" w:hAnsi="Arial" w:cs="Arial"/>
          <w:color w:val="000000"/>
          <w:shd w:val="clear" w:color="auto" w:fill="FFFFFF"/>
        </w:rPr>
        <w:t>against.</w:t>
      </w:r>
      <w:r w:rsidRPr="001473CD">
        <w:rPr>
          <w:rFonts w:ascii="Arial" w:eastAsia="Times New Roman" w:hAnsi="Arial" w:cs="Arial"/>
          <w:color w:val="000000"/>
          <w:sz w:val="24"/>
          <w:szCs w:val="24"/>
        </w:rPr>
        <w:t>Sources</w:t>
      </w:r>
      <w:proofErr w:type="spellEnd"/>
      <w:r w:rsidRPr="001473CD">
        <w:rPr>
          <w:rFonts w:ascii="Arial" w:eastAsia="Times New Roman" w:hAnsi="Arial" w:cs="Arial"/>
          <w:color w:val="000000"/>
          <w:sz w:val="24"/>
          <w:szCs w:val="24"/>
        </w:rPr>
        <w:t xml:space="preserve"> of market risk include recessions, political turmoil, changes in interest rates, natural disasters and terrorist attacks.</w:t>
      </w:r>
    </w:p>
    <w:p w:rsidR="001473CD" w:rsidRDefault="001473CD" w:rsidP="00D012C2">
      <w:pPr>
        <w:rPr>
          <w:rFonts w:ascii="Arial" w:eastAsia="Times New Roman" w:hAnsi="Arial" w:cs="Arial"/>
          <w:color w:val="000000"/>
          <w:sz w:val="24"/>
          <w:szCs w:val="24"/>
        </w:rPr>
      </w:pPr>
    </w:p>
    <w:p w:rsidR="001473CD" w:rsidRPr="00D012C2" w:rsidRDefault="001473CD" w:rsidP="00D012C2">
      <w:pPr>
        <w:rPr>
          <w:rFonts w:ascii="Arial" w:eastAsia="Times New Roman" w:hAnsi="Arial" w:cs="Arial"/>
          <w:color w:val="000000"/>
          <w:sz w:val="24"/>
          <w:szCs w:val="24"/>
        </w:rPr>
      </w:pPr>
      <w:r w:rsidRPr="001473CD">
        <w:rPr>
          <w:rFonts w:ascii="Arial" w:hAnsi="Arial" w:cs="Arial"/>
          <w:b/>
          <w:color w:val="000000"/>
          <w:shd w:val="clear" w:color="auto" w:fill="FFFFFF"/>
        </w:rPr>
        <w:t>Country risk</w:t>
      </w:r>
      <w:r>
        <w:rPr>
          <w:rFonts w:ascii="Arial" w:hAnsi="Arial" w:cs="Arial"/>
          <w:color w:val="000000"/>
          <w:shd w:val="clear" w:color="auto" w:fill="FFFFFF"/>
        </w:rPr>
        <w:t xml:space="preserve"> is a collection of risks associated with investing in a foreign country. These risks include </w:t>
      </w:r>
      <w:hyperlink r:id="rId25" w:history="1">
        <w:r>
          <w:rPr>
            <w:rStyle w:val="Hyperlink"/>
            <w:rFonts w:ascii="Arial" w:hAnsi="Arial" w:cs="Arial"/>
            <w:color w:val="005B9D"/>
            <w:u w:val="none"/>
          </w:rPr>
          <w:t>political risk</w:t>
        </w:r>
      </w:hyperlink>
      <w:r>
        <w:rPr>
          <w:rFonts w:ascii="Arial" w:hAnsi="Arial" w:cs="Arial"/>
          <w:color w:val="000000"/>
          <w:shd w:val="clear" w:color="auto" w:fill="FFFFFF"/>
        </w:rPr>
        <w:t>, exchange rate risk, economic risk, </w:t>
      </w:r>
      <w:hyperlink r:id="rId26" w:history="1">
        <w:r>
          <w:rPr>
            <w:rStyle w:val="Hyperlink"/>
            <w:rFonts w:ascii="Arial" w:hAnsi="Arial" w:cs="Arial"/>
            <w:color w:val="005B9D"/>
            <w:u w:val="none"/>
          </w:rPr>
          <w:t>sovereign risk</w:t>
        </w:r>
      </w:hyperlink>
      <w:r>
        <w:rPr>
          <w:rFonts w:ascii="Arial" w:hAnsi="Arial" w:cs="Arial"/>
          <w:color w:val="000000"/>
          <w:shd w:val="clear" w:color="auto" w:fill="FFFFFF"/>
        </w:rPr>
        <w:t> and transfer risk, which is the risk of capital being locked up or frozen by government action. </w:t>
      </w:r>
      <w:r>
        <w:rPr>
          <w:rFonts w:ascii="Arial" w:hAnsi="Arial" w:cs="Arial"/>
          <w:color w:val="000000"/>
        </w:rPr>
        <w:br/>
      </w:r>
      <w:r>
        <w:rPr>
          <w:rFonts w:ascii="Arial" w:hAnsi="Arial" w:cs="Arial"/>
          <w:color w:val="000000"/>
        </w:rPr>
        <w:br/>
      </w:r>
    </w:p>
    <w:sectPr w:rsidR="001473CD" w:rsidRPr="00D0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2A07"/>
    <w:multiLevelType w:val="hybridMultilevel"/>
    <w:tmpl w:val="F852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52239"/>
    <w:multiLevelType w:val="multilevel"/>
    <w:tmpl w:val="262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F2318"/>
    <w:multiLevelType w:val="hybridMultilevel"/>
    <w:tmpl w:val="164E23D2"/>
    <w:lvl w:ilvl="0" w:tplc="B6C415AC">
      <w:start w:val="1"/>
      <w:numFmt w:val="bullet"/>
      <w:lvlText w:val="•"/>
      <w:lvlJc w:val="left"/>
      <w:pPr>
        <w:tabs>
          <w:tab w:val="num" w:pos="720"/>
        </w:tabs>
        <w:ind w:left="720" w:hanging="360"/>
      </w:pPr>
      <w:rPr>
        <w:rFonts w:ascii="Times New Roman" w:hAnsi="Times New Roman" w:hint="default"/>
      </w:rPr>
    </w:lvl>
    <w:lvl w:ilvl="1" w:tplc="C8608580" w:tentative="1">
      <w:start w:val="1"/>
      <w:numFmt w:val="bullet"/>
      <w:lvlText w:val="•"/>
      <w:lvlJc w:val="left"/>
      <w:pPr>
        <w:tabs>
          <w:tab w:val="num" w:pos="1440"/>
        </w:tabs>
        <w:ind w:left="1440" w:hanging="360"/>
      </w:pPr>
      <w:rPr>
        <w:rFonts w:ascii="Times New Roman" w:hAnsi="Times New Roman" w:hint="default"/>
      </w:rPr>
    </w:lvl>
    <w:lvl w:ilvl="2" w:tplc="E8FE14C4" w:tentative="1">
      <w:start w:val="1"/>
      <w:numFmt w:val="bullet"/>
      <w:lvlText w:val="•"/>
      <w:lvlJc w:val="left"/>
      <w:pPr>
        <w:tabs>
          <w:tab w:val="num" w:pos="2160"/>
        </w:tabs>
        <w:ind w:left="2160" w:hanging="360"/>
      </w:pPr>
      <w:rPr>
        <w:rFonts w:ascii="Times New Roman" w:hAnsi="Times New Roman" w:hint="default"/>
      </w:rPr>
    </w:lvl>
    <w:lvl w:ilvl="3" w:tplc="08AC1C4A" w:tentative="1">
      <w:start w:val="1"/>
      <w:numFmt w:val="bullet"/>
      <w:lvlText w:val="•"/>
      <w:lvlJc w:val="left"/>
      <w:pPr>
        <w:tabs>
          <w:tab w:val="num" w:pos="2880"/>
        </w:tabs>
        <w:ind w:left="2880" w:hanging="360"/>
      </w:pPr>
      <w:rPr>
        <w:rFonts w:ascii="Times New Roman" w:hAnsi="Times New Roman" w:hint="default"/>
      </w:rPr>
    </w:lvl>
    <w:lvl w:ilvl="4" w:tplc="BE08E8D2" w:tentative="1">
      <w:start w:val="1"/>
      <w:numFmt w:val="bullet"/>
      <w:lvlText w:val="•"/>
      <w:lvlJc w:val="left"/>
      <w:pPr>
        <w:tabs>
          <w:tab w:val="num" w:pos="3600"/>
        </w:tabs>
        <w:ind w:left="3600" w:hanging="360"/>
      </w:pPr>
      <w:rPr>
        <w:rFonts w:ascii="Times New Roman" w:hAnsi="Times New Roman" w:hint="default"/>
      </w:rPr>
    </w:lvl>
    <w:lvl w:ilvl="5" w:tplc="6B74BB2A" w:tentative="1">
      <w:start w:val="1"/>
      <w:numFmt w:val="bullet"/>
      <w:lvlText w:val="•"/>
      <w:lvlJc w:val="left"/>
      <w:pPr>
        <w:tabs>
          <w:tab w:val="num" w:pos="4320"/>
        </w:tabs>
        <w:ind w:left="4320" w:hanging="360"/>
      </w:pPr>
      <w:rPr>
        <w:rFonts w:ascii="Times New Roman" w:hAnsi="Times New Roman" w:hint="default"/>
      </w:rPr>
    </w:lvl>
    <w:lvl w:ilvl="6" w:tplc="E5103AF0" w:tentative="1">
      <w:start w:val="1"/>
      <w:numFmt w:val="bullet"/>
      <w:lvlText w:val="•"/>
      <w:lvlJc w:val="left"/>
      <w:pPr>
        <w:tabs>
          <w:tab w:val="num" w:pos="5040"/>
        </w:tabs>
        <w:ind w:left="5040" w:hanging="360"/>
      </w:pPr>
      <w:rPr>
        <w:rFonts w:ascii="Times New Roman" w:hAnsi="Times New Roman" w:hint="default"/>
      </w:rPr>
    </w:lvl>
    <w:lvl w:ilvl="7" w:tplc="93444354" w:tentative="1">
      <w:start w:val="1"/>
      <w:numFmt w:val="bullet"/>
      <w:lvlText w:val="•"/>
      <w:lvlJc w:val="left"/>
      <w:pPr>
        <w:tabs>
          <w:tab w:val="num" w:pos="5760"/>
        </w:tabs>
        <w:ind w:left="5760" w:hanging="360"/>
      </w:pPr>
      <w:rPr>
        <w:rFonts w:ascii="Times New Roman" w:hAnsi="Times New Roman" w:hint="default"/>
      </w:rPr>
    </w:lvl>
    <w:lvl w:ilvl="8" w:tplc="5CCC98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171AE2"/>
    <w:multiLevelType w:val="hybridMultilevel"/>
    <w:tmpl w:val="EB66655C"/>
    <w:lvl w:ilvl="0" w:tplc="D79277EE">
      <w:start w:val="1"/>
      <w:numFmt w:val="bullet"/>
      <w:lvlText w:val="•"/>
      <w:lvlJc w:val="left"/>
      <w:pPr>
        <w:tabs>
          <w:tab w:val="num" w:pos="720"/>
        </w:tabs>
        <w:ind w:left="720" w:hanging="360"/>
      </w:pPr>
      <w:rPr>
        <w:rFonts w:ascii="Times New Roman" w:hAnsi="Times New Roman" w:hint="default"/>
      </w:rPr>
    </w:lvl>
    <w:lvl w:ilvl="1" w:tplc="7CDA5F12">
      <w:start w:val="94"/>
      <w:numFmt w:val="bullet"/>
      <w:lvlText w:val="–"/>
      <w:lvlJc w:val="left"/>
      <w:pPr>
        <w:tabs>
          <w:tab w:val="num" w:pos="1440"/>
        </w:tabs>
        <w:ind w:left="1440" w:hanging="360"/>
      </w:pPr>
      <w:rPr>
        <w:rFonts w:ascii="Times New Roman" w:hAnsi="Times New Roman" w:hint="default"/>
      </w:rPr>
    </w:lvl>
    <w:lvl w:ilvl="2" w:tplc="A3EE5512" w:tentative="1">
      <w:start w:val="1"/>
      <w:numFmt w:val="bullet"/>
      <w:lvlText w:val="•"/>
      <w:lvlJc w:val="left"/>
      <w:pPr>
        <w:tabs>
          <w:tab w:val="num" w:pos="2160"/>
        </w:tabs>
        <w:ind w:left="2160" w:hanging="360"/>
      </w:pPr>
      <w:rPr>
        <w:rFonts w:ascii="Times New Roman" w:hAnsi="Times New Roman" w:hint="default"/>
      </w:rPr>
    </w:lvl>
    <w:lvl w:ilvl="3" w:tplc="FE06D90E" w:tentative="1">
      <w:start w:val="1"/>
      <w:numFmt w:val="bullet"/>
      <w:lvlText w:val="•"/>
      <w:lvlJc w:val="left"/>
      <w:pPr>
        <w:tabs>
          <w:tab w:val="num" w:pos="2880"/>
        </w:tabs>
        <w:ind w:left="2880" w:hanging="360"/>
      </w:pPr>
      <w:rPr>
        <w:rFonts w:ascii="Times New Roman" w:hAnsi="Times New Roman" w:hint="default"/>
      </w:rPr>
    </w:lvl>
    <w:lvl w:ilvl="4" w:tplc="7BD2A70E" w:tentative="1">
      <w:start w:val="1"/>
      <w:numFmt w:val="bullet"/>
      <w:lvlText w:val="•"/>
      <w:lvlJc w:val="left"/>
      <w:pPr>
        <w:tabs>
          <w:tab w:val="num" w:pos="3600"/>
        </w:tabs>
        <w:ind w:left="3600" w:hanging="360"/>
      </w:pPr>
      <w:rPr>
        <w:rFonts w:ascii="Times New Roman" w:hAnsi="Times New Roman" w:hint="default"/>
      </w:rPr>
    </w:lvl>
    <w:lvl w:ilvl="5" w:tplc="4456F660" w:tentative="1">
      <w:start w:val="1"/>
      <w:numFmt w:val="bullet"/>
      <w:lvlText w:val="•"/>
      <w:lvlJc w:val="left"/>
      <w:pPr>
        <w:tabs>
          <w:tab w:val="num" w:pos="4320"/>
        </w:tabs>
        <w:ind w:left="4320" w:hanging="360"/>
      </w:pPr>
      <w:rPr>
        <w:rFonts w:ascii="Times New Roman" w:hAnsi="Times New Roman" w:hint="default"/>
      </w:rPr>
    </w:lvl>
    <w:lvl w:ilvl="6" w:tplc="88360F58" w:tentative="1">
      <w:start w:val="1"/>
      <w:numFmt w:val="bullet"/>
      <w:lvlText w:val="•"/>
      <w:lvlJc w:val="left"/>
      <w:pPr>
        <w:tabs>
          <w:tab w:val="num" w:pos="5040"/>
        </w:tabs>
        <w:ind w:left="5040" w:hanging="360"/>
      </w:pPr>
      <w:rPr>
        <w:rFonts w:ascii="Times New Roman" w:hAnsi="Times New Roman" w:hint="default"/>
      </w:rPr>
    </w:lvl>
    <w:lvl w:ilvl="7" w:tplc="10363138" w:tentative="1">
      <w:start w:val="1"/>
      <w:numFmt w:val="bullet"/>
      <w:lvlText w:val="•"/>
      <w:lvlJc w:val="left"/>
      <w:pPr>
        <w:tabs>
          <w:tab w:val="num" w:pos="5760"/>
        </w:tabs>
        <w:ind w:left="5760" w:hanging="360"/>
      </w:pPr>
      <w:rPr>
        <w:rFonts w:ascii="Times New Roman" w:hAnsi="Times New Roman" w:hint="default"/>
      </w:rPr>
    </w:lvl>
    <w:lvl w:ilvl="8" w:tplc="78A4CC7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093524E"/>
    <w:multiLevelType w:val="hybridMultilevel"/>
    <w:tmpl w:val="9C2E3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2C6EC6"/>
    <w:multiLevelType w:val="hybridMultilevel"/>
    <w:tmpl w:val="CDE2F130"/>
    <w:lvl w:ilvl="0" w:tplc="5BEA7C6A">
      <w:start w:val="1"/>
      <w:numFmt w:val="bullet"/>
      <w:lvlText w:val="•"/>
      <w:lvlJc w:val="left"/>
      <w:pPr>
        <w:tabs>
          <w:tab w:val="num" w:pos="720"/>
        </w:tabs>
        <w:ind w:left="720" w:hanging="360"/>
      </w:pPr>
      <w:rPr>
        <w:rFonts w:ascii="Times New Roman" w:hAnsi="Times New Roman" w:hint="default"/>
      </w:rPr>
    </w:lvl>
    <w:lvl w:ilvl="1" w:tplc="4B7A1836" w:tentative="1">
      <w:start w:val="1"/>
      <w:numFmt w:val="bullet"/>
      <w:lvlText w:val="•"/>
      <w:lvlJc w:val="left"/>
      <w:pPr>
        <w:tabs>
          <w:tab w:val="num" w:pos="1440"/>
        </w:tabs>
        <w:ind w:left="1440" w:hanging="360"/>
      </w:pPr>
      <w:rPr>
        <w:rFonts w:ascii="Times New Roman" w:hAnsi="Times New Roman" w:hint="default"/>
      </w:rPr>
    </w:lvl>
    <w:lvl w:ilvl="2" w:tplc="2202248C" w:tentative="1">
      <w:start w:val="1"/>
      <w:numFmt w:val="bullet"/>
      <w:lvlText w:val="•"/>
      <w:lvlJc w:val="left"/>
      <w:pPr>
        <w:tabs>
          <w:tab w:val="num" w:pos="2160"/>
        </w:tabs>
        <w:ind w:left="2160" w:hanging="360"/>
      </w:pPr>
      <w:rPr>
        <w:rFonts w:ascii="Times New Roman" w:hAnsi="Times New Roman" w:hint="default"/>
      </w:rPr>
    </w:lvl>
    <w:lvl w:ilvl="3" w:tplc="6ECE33F2" w:tentative="1">
      <w:start w:val="1"/>
      <w:numFmt w:val="bullet"/>
      <w:lvlText w:val="•"/>
      <w:lvlJc w:val="left"/>
      <w:pPr>
        <w:tabs>
          <w:tab w:val="num" w:pos="2880"/>
        </w:tabs>
        <w:ind w:left="2880" w:hanging="360"/>
      </w:pPr>
      <w:rPr>
        <w:rFonts w:ascii="Times New Roman" w:hAnsi="Times New Roman" w:hint="default"/>
      </w:rPr>
    </w:lvl>
    <w:lvl w:ilvl="4" w:tplc="1E82B9D8" w:tentative="1">
      <w:start w:val="1"/>
      <w:numFmt w:val="bullet"/>
      <w:lvlText w:val="•"/>
      <w:lvlJc w:val="left"/>
      <w:pPr>
        <w:tabs>
          <w:tab w:val="num" w:pos="3600"/>
        </w:tabs>
        <w:ind w:left="3600" w:hanging="360"/>
      </w:pPr>
      <w:rPr>
        <w:rFonts w:ascii="Times New Roman" w:hAnsi="Times New Roman" w:hint="default"/>
      </w:rPr>
    </w:lvl>
    <w:lvl w:ilvl="5" w:tplc="1C5AF610" w:tentative="1">
      <w:start w:val="1"/>
      <w:numFmt w:val="bullet"/>
      <w:lvlText w:val="•"/>
      <w:lvlJc w:val="left"/>
      <w:pPr>
        <w:tabs>
          <w:tab w:val="num" w:pos="4320"/>
        </w:tabs>
        <w:ind w:left="4320" w:hanging="360"/>
      </w:pPr>
      <w:rPr>
        <w:rFonts w:ascii="Times New Roman" w:hAnsi="Times New Roman" w:hint="default"/>
      </w:rPr>
    </w:lvl>
    <w:lvl w:ilvl="6" w:tplc="4BDA4714" w:tentative="1">
      <w:start w:val="1"/>
      <w:numFmt w:val="bullet"/>
      <w:lvlText w:val="•"/>
      <w:lvlJc w:val="left"/>
      <w:pPr>
        <w:tabs>
          <w:tab w:val="num" w:pos="5040"/>
        </w:tabs>
        <w:ind w:left="5040" w:hanging="360"/>
      </w:pPr>
      <w:rPr>
        <w:rFonts w:ascii="Times New Roman" w:hAnsi="Times New Roman" w:hint="default"/>
      </w:rPr>
    </w:lvl>
    <w:lvl w:ilvl="7" w:tplc="439C2808" w:tentative="1">
      <w:start w:val="1"/>
      <w:numFmt w:val="bullet"/>
      <w:lvlText w:val="•"/>
      <w:lvlJc w:val="left"/>
      <w:pPr>
        <w:tabs>
          <w:tab w:val="num" w:pos="5760"/>
        </w:tabs>
        <w:ind w:left="5760" w:hanging="360"/>
      </w:pPr>
      <w:rPr>
        <w:rFonts w:ascii="Times New Roman" w:hAnsi="Times New Roman" w:hint="default"/>
      </w:rPr>
    </w:lvl>
    <w:lvl w:ilvl="8" w:tplc="2D4646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2487BB6"/>
    <w:multiLevelType w:val="hybridMultilevel"/>
    <w:tmpl w:val="B25C217A"/>
    <w:lvl w:ilvl="0" w:tplc="9538E980">
      <w:start w:val="1"/>
      <w:numFmt w:val="bullet"/>
      <w:lvlText w:val="•"/>
      <w:lvlJc w:val="left"/>
      <w:pPr>
        <w:tabs>
          <w:tab w:val="num" w:pos="720"/>
        </w:tabs>
        <w:ind w:left="720" w:hanging="360"/>
      </w:pPr>
      <w:rPr>
        <w:rFonts w:ascii="Times New Roman" w:hAnsi="Times New Roman" w:hint="default"/>
      </w:rPr>
    </w:lvl>
    <w:lvl w:ilvl="1" w:tplc="7A02023A" w:tentative="1">
      <w:start w:val="1"/>
      <w:numFmt w:val="bullet"/>
      <w:lvlText w:val="•"/>
      <w:lvlJc w:val="left"/>
      <w:pPr>
        <w:tabs>
          <w:tab w:val="num" w:pos="1440"/>
        </w:tabs>
        <w:ind w:left="1440" w:hanging="360"/>
      </w:pPr>
      <w:rPr>
        <w:rFonts w:ascii="Times New Roman" w:hAnsi="Times New Roman" w:hint="default"/>
      </w:rPr>
    </w:lvl>
    <w:lvl w:ilvl="2" w:tplc="E21020E0" w:tentative="1">
      <w:start w:val="1"/>
      <w:numFmt w:val="bullet"/>
      <w:lvlText w:val="•"/>
      <w:lvlJc w:val="left"/>
      <w:pPr>
        <w:tabs>
          <w:tab w:val="num" w:pos="2160"/>
        </w:tabs>
        <w:ind w:left="2160" w:hanging="360"/>
      </w:pPr>
      <w:rPr>
        <w:rFonts w:ascii="Times New Roman" w:hAnsi="Times New Roman" w:hint="default"/>
      </w:rPr>
    </w:lvl>
    <w:lvl w:ilvl="3" w:tplc="9E4A2BAE" w:tentative="1">
      <w:start w:val="1"/>
      <w:numFmt w:val="bullet"/>
      <w:lvlText w:val="•"/>
      <w:lvlJc w:val="left"/>
      <w:pPr>
        <w:tabs>
          <w:tab w:val="num" w:pos="2880"/>
        </w:tabs>
        <w:ind w:left="2880" w:hanging="360"/>
      </w:pPr>
      <w:rPr>
        <w:rFonts w:ascii="Times New Roman" w:hAnsi="Times New Roman" w:hint="default"/>
      </w:rPr>
    </w:lvl>
    <w:lvl w:ilvl="4" w:tplc="0072885E" w:tentative="1">
      <w:start w:val="1"/>
      <w:numFmt w:val="bullet"/>
      <w:lvlText w:val="•"/>
      <w:lvlJc w:val="left"/>
      <w:pPr>
        <w:tabs>
          <w:tab w:val="num" w:pos="3600"/>
        </w:tabs>
        <w:ind w:left="3600" w:hanging="360"/>
      </w:pPr>
      <w:rPr>
        <w:rFonts w:ascii="Times New Roman" w:hAnsi="Times New Roman" w:hint="default"/>
      </w:rPr>
    </w:lvl>
    <w:lvl w:ilvl="5" w:tplc="1F381B20" w:tentative="1">
      <w:start w:val="1"/>
      <w:numFmt w:val="bullet"/>
      <w:lvlText w:val="•"/>
      <w:lvlJc w:val="left"/>
      <w:pPr>
        <w:tabs>
          <w:tab w:val="num" w:pos="4320"/>
        </w:tabs>
        <w:ind w:left="4320" w:hanging="360"/>
      </w:pPr>
      <w:rPr>
        <w:rFonts w:ascii="Times New Roman" w:hAnsi="Times New Roman" w:hint="default"/>
      </w:rPr>
    </w:lvl>
    <w:lvl w:ilvl="6" w:tplc="F386EF86" w:tentative="1">
      <w:start w:val="1"/>
      <w:numFmt w:val="bullet"/>
      <w:lvlText w:val="•"/>
      <w:lvlJc w:val="left"/>
      <w:pPr>
        <w:tabs>
          <w:tab w:val="num" w:pos="5040"/>
        </w:tabs>
        <w:ind w:left="5040" w:hanging="360"/>
      </w:pPr>
      <w:rPr>
        <w:rFonts w:ascii="Times New Roman" w:hAnsi="Times New Roman" w:hint="default"/>
      </w:rPr>
    </w:lvl>
    <w:lvl w:ilvl="7" w:tplc="779AE4E4" w:tentative="1">
      <w:start w:val="1"/>
      <w:numFmt w:val="bullet"/>
      <w:lvlText w:val="•"/>
      <w:lvlJc w:val="left"/>
      <w:pPr>
        <w:tabs>
          <w:tab w:val="num" w:pos="5760"/>
        </w:tabs>
        <w:ind w:left="5760" w:hanging="360"/>
      </w:pPr>
      <w:rPr>
        <w:rFonts w:ascii="Times New Roman" w:hAnsi="Times New Roman" w:hint="default"/>
      </w:rPr>
    </w:lvl>
    <w:lvl w:ilvl="8" w:tplc="B67C6AA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11"/>
    <w:rsid w:val="00056620"/>
    <w:rsid w:val="001473CD"/>
    <w:rsid w:val="00214711"/>
    <w:rsid w:val="0029725B"/>
    <w:rsid w:val="007150C0"/>
    <w:rsid w:val="008415A7"/>
    <w:rsid w:val="008851B8"/>
    <w:rsid w:val="008D44FE"/>
    <w:rsid w:val="00956ED1"/>
    <w:rsid w:val="00C96D22"/>
    <w:rsid w:val="00D012C2"/>
    <w:rsid w:val="00E814C0"/>
    <w:rsid w:val="00EE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249B1-1391-4D1C-ADBB-ACC3D514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1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4711"/>
    <w:rPr>
      <w:color w:val="0000FF"/>
      <w:u w:val="single"/>
    </w:rPr>
  </w:style>
  <w:style w:type="character" w:customStyle="1" w:styleId="Heading2Char">
    <w:name w:val="Heading 2 Char"/>
    <w:basedOn w:val="DefaultParagraphFont"/>
    <w:link w:val="Heading2"/>
    <w:uiPriority w:val="9"/>
    <w:rsid w:val="00D012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2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D22"/>
    <w:rPr>
      <w:b/>
      <w:bCs/>
    </w:rPr>
  </w:style>
  <w:style w:type="paragraph" w:styleId="ListParagraph">
    <w:name w:val="List Paragraph"/>
    <w:basedOn w:val="Normal"/>
    <w:uiPriority w:val="34"/>
    <w:qFormat/>
    <w:rsid w:val="00C96D22"/>
    <w:pPr>
      <w:ind w:left="720"/>
      <w:contextualSpacing/>
    </w:pPr>
  </w:style>
  <w:style w:type="character" w:styleId="Emphasis">
    <w:name w:val="Emphasis"/>
    <w:basedOn w:val="DefaultParagraphFont"/>
    <w:uiPriority w:val="20"/>
    <w:qFormat/>
    <w:rsid w:val="00EE6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9122">
      <w:bodyDiv w:val="1"/>
      <w:marLeft w:val="0"/>
      <w:marRight w:val="0"/>
      <w:marTop w:val="0"/>
      <w:marBottom w:val="0"/>
      <w:divBdr>
        <w:top w:val="none" w:sz="0" w:space="0" w:color="auto"/>
        <w:left w:val="none" w:sz="0" w:space="0" w:color="auto"/>
        <w:bottom w:val="none" w:sz="0" w:space="0" w:color="auto"/>
        <w:right w:val="none" w:sz="0" w:space="0" w:color="auto"/>
      </w:divBdr>
      <w:divsChild>
        <w:div w:id="143619746">
          <w:marLeft w:val="547"/>
          <w:marRight w:val="0"/>
          <w:marTop w:val="134"/>
          <w:marBottom w:val="0"/>
          <w:divBdr>
            <w:top w:val="none" w:sz="0" w:space="0" w:color="auto"/>
            <w:left w:val="none" w:sz="0" w:space="0" w:color="auto"/>
            <w:bottom w:val="none" w:sz="0" w:space="0" w:color="auto"/>
            <w:right w:val="none" w:sz="0" w:space="0" w:color="auto"/>
          </w:divBdr>
        </w:div>
        <w:div w:id="628898549">
          <w:marLeft w:val="547"/>
          <w:marRight w:val="0"/>
          <w:marTop w:val="134"/>
          <w:marBottom w:val="0"/>
          <w:divBdr>
            <w:top w:val="none" w:sz="0" w:space="0" w:color="auto"/>
            <w:left w:val="none" w:sz="0" w:space="0" w:color="auto"/>
            <w:bottom w:val="none" w:sz="0" w:space="0" w:color="auto"/>
            <w:right w:val="none" w:sz="0" w:space="0" w:color="auto"/>
          </w:divBdr>
        </w:div>
        <w:div w:id="493495178">
          <w:marLeft w:val="547"/>
          <w:marRight w:val="0"/>
          <w:marTop w:val="134"/>
          <w:marBottom w:val="0"/>
          <w:divBdr>
            <w:top w:val="none" w:sz="0" w:space="0" w:color="auto"/>
            <w:left w:val="none" w:sz="0" w:space="0" w:color="auto"/>
            <w:bottom w:val="none" w:sz="0" w:space="0" w:color="auto"/>
            <w:right w:val="none" w:sz="0" w:space="0" w:color="auto"/>
          </w:divBdr>
        </w:div>
        <w:div w:id="2014799434">
          <w:marLeft w:val="547"/>
          <w:marRight w:val="0"/>
          <w:marTop w:val="134"/>
          <w:marBottom w:val="0"/>
          <w:divBdr>
            <w:top w:val="none" w:sz="0" w:space="0" w:color="auto"/>
            <w:left w:val="none" w:sz="0" w:space="0" w:color="auto"/>
            <w:bottom w:val="none" w:sz="0" w:space="0" w:color="auto"/>
            <w:right w:val="none" w:sz="0" w:space="0" w:color="auto"/>
          </w:divBdr>
        </w:div>
        <w:div w:id="139812963">
          <w:marLeft w:val="547"/>
          <w:marRight w:val="0"/>
          <w:marTop w:val="134"/>
          <w:marBottom w:val="0"/>
          <w:divBdr>
            <w:top w:val="none" w:sz="0" w:space="0" w:color="auto"/>
            <w:left w:val="none" w:sz="0" w:space="0" w:color="auto"/>
            <w:bottom w:val="none" w:sz="0" w:space="0" w:color="auto"/>
            <w:right w:val="none" w:sz="0" w:space="0" w:color="auto"/>
          </w:divBdr>
        </w:div>
        <w:div w:id="739212722">
          <w:marLeft w:val="547"/>
          <w:marRight w:val="0"/>
          <w:marTop w:val="134"/>
          <w:marBottom w:val="0"/>
          <w:divBdr>
            <w:top w:val="none" w:sz="0" w:space="0" w:color="auto"/>
            <w:left w:val="none" w:sz="0" w:space="0" w:color="auto"/>
            <w:bottom w:val="none" w:sz="0" w:space="0" w:color="auto"/>
            <w:right w:val="none" w:sz="0" w:space="0" w:color="auto"/>
          </w:divBdr>
        </w:div>
        <w:div w:id="363529687">
          <w:marLeft w:val="547"/>
          <w:marRight w:val="0"/>
          <w:marTop w:val="134"/>
          <w:marBottom w:val="0"/>
          <w:divBdr>
            <w:top w:val="none" w:sz="0" w:space="0" w:color="auto"/>
            <w:left w:val="none" w:sz="0" w:space="0" w:color="auto"/>
            <w:bottom w:val="none" w:sz="0" w:space="0" w:color="auto"/>
            <w:right w:val="none" w:sz="0" w:space="0" w:color="auto"/>
          </w:divBdr>
        </w:div>
      </w:divsChild>
    </w:div>
    <w:div w:id="224412208">
      <w:bodyDiv w:val="1"/>
      <w:marLeft w:val="0"/>
      <w:marRight w:val="0"/>
      <w:marTop w:val="0"/>
      <w:marBottom w:val="0"/>
      <w:divBdr>
        <w:top w:val="none" w:sz="0" w:space="0" w:color="auto"/>
        <w:left w:val="none" w:sz="0" w:space="0" w:color="auto"/>
        <w:bottom w:val="none" w:sz="0" w:space="0" w:color="auto"/>
        <w:right w:val="none" w:sz="0" w:space="0" w:color="auto"/>
      </w:divBdr>
    </w:div>
    <w:div w:id="280574992">
      <w:bodyDiv w:val="1"/>
      <w:marLeft w:val="0"/>
      <w:marRight w:val="0"/>
      <w:marTop w:val="0"/>
      <w:marBottom w:val="0"/>
      <w:divBdr>
        <w:top w:val="none" w:sz="0" w:space="0" w:color="auto"/>
        <w:left w:val="none" w:sz="0" w:space="0" w:color="auto"/>
        <w:bottom w:val="none" w:sz="0" w:space="0" w:color="auto"/>
        <w:right w:val="none" w:sz="0" w:space="0" w:color="auto"/>
      </w:divBdr>
      <w:divsChild>
        <w:div w:id="1357266368">
          <w:marLeft w:val="547"/>
          <w:marRight w:val="0"/>
          <w:marTop w:val="154"/>
          <w:marBottom w:val="0"/>
          <w:divBdr>
            <w:top w:val="none" w:sz="0" w:space="0" w:color="auto"/>
            <w:left w:val="none" w:sz="0" w:space="0" w:color="auto"/>
            <w:bottom w:val="none" w:sz="0" w:space="0" w:color="auto"/>
            <w:right w:val="none" w:sz="0" w:space="0" w:color="auto"/>
          </w:divBdr>
        </w:div>
        <w:div w:id="558592017">
          <w:marLeft w:val="547"/>
          <w:marRight w:val="0"/>
          <w:marTop w:val="154"/>
          <w:marBottom w:val="0"/>
          <w:divBdr>
            <w:top w:val="none" w:sz="0" w:space="0" w:color="auto"/>
            <w:left w:val="none" w:sz="0" w:space="0" w:color="auto"/>
            <w:bottom w:val="none" w:sz="0" w:space="0" w:color="auto"/>
            <w:right w:val="none" w:sz="0" w:space="0" w:color="auto"/>
          </w:divBdr>
        </w:div>
        <w:div w:id="877199614">
          <w:marLeft w:val="547"/>
          <w:marRight w:val="0"/>
          <w:marTop w:val="154"/>
          <w:marBottom w:val="0"/>
          <w:divBdr>
            <w:top w:val="none" w:sz="0" w:space="0" w:color="auto"/>
            <w:left w:val="none" w:sz="0" w:space="0" w:color="auto"/>
            <w:bottom w:val="none" w:sz="0" w:space="0" w:color="auto"/>
            <w:right w:val="none" w:sz="0" w:space="0" w:color="auto"/>
          </w:divBdr>
        </w:div>
      </w:divsChild>
    </w:div>
    <w:div w:id="895623259">
      <w:bodyDiv w:val="1"/>
      <w:marLeft w:val="0"/>
      <w:marRight w:val="0"/>
      <w:marTop w:val="0"/>
      <w:marBottom w:val="0"/>
      <w:divBdr>
        <w:top w:val="none" w:sz="0" w:space="0" w:color="auto"/>
        <w:left w:val="none" w:sz="0" w:space="0" w:color="auto"/>
        <w:bottom w:val="none" w:sz="0" w:space="0" w:color="auto"/>
        <w:right w:val="none" w:sz="0" w:space="0" w:color="auto"/>
      </w:divBdr>
      <w:divsChild>
        <w:div w:id="136194700">
          <w:marLeft w:val="547"/>
          <w:marRight w:val="0"/>
          <w:marTop w:val="134"/>
          <w:marBottom w:val="0"/>
          <w:divBdr>
            <w:top w:val="none" w:sz="0" w:space="0" w:color="auto"/>
            <w:left w:val="none" w:sz="0" w:space="0" w:color="auto"/>
            <w:bottom w:val="none" w:sz="0" w:space="0" w:color="auto"/>
            <w:right w:val="none" w:sz="0" w:space="0" w:color="auto"/>
          </w:divBdr>
        </w:div>
        <w:div w:id="2085108375">
          <w:marLeft w:val="547"/>
          <w:marRight w:val="0"/>
          <w:marTop w:val="134"/>
          <w:marBottom w:val="0"/>
          <w:divBdr>
            <w:top w:val="none" w:sz="0" w:space="0" w:color="auto"/>
            <w:left w:val="none" w:sz="0" w:space="0" w:color="auto"/>
            <w:bottom w:val="none" w:sz="0" w:space="0" w:color="auto"/>
            <w:right w:val="none" w:sz="0" w:space="0" w:color="auto"/>
          </w:divBdr>
        </w:div>
        <w:div w:id="1467890486">
          <w:marLeft w:val="1166"/>
          <w:marRight w:val="0"/>
          <w:marTop w:val="115"/>
          <w:marBottom w:val="0"/>
          <w:divBdr>
            <w:top w:val="none" w:sz="0" w:space="0" w:color="auto"/>
            <w:left w:val="none" w:sz="0" w:space="0" w:color="auto"/>
            <w:bottom w:val="none" w:sz="0" w:space="0" w:color="auto"/>
            <w:right w:val="none" w:sz="0" w:space="0" w:color="auto"/>
          </w:divBdr>
        </w:div>
        <w:div w:id="1513035886">
          <w:marLeft w:val="1166"/>
          <w:marRight w:val="0"/>
          <w:marTop w:val="115"/>
          <w:marBottom w:val="0"/>
          <w:divBdr>
            <w:top w:val="none" w:sz="0" w:space="0" w:color="auto"/>
            <w:left w:val="none" w:sz="0" w:space="0" w:color="auto"/>
            <w:bottom w:val="none" w:sz="0" w:space="0" w:color="auto"/>
            <w:right w:val="none" w:sz="0" w:space="0" w:color="auto"/>
          </w:divBdr>
        </w:div>
        <w:div w:id="1063985129">
          <w:marLeft w:val="1166"/>
          <w:marRight w:val="0"/>
          <w:marTop w:val="115"/>
          <w:marBottom w:val="0"/>
          <w:divBdr>
            <w:top w:val="none" w:sz="0" w:space="0" w:color="auto"/>
            <w:left w:val="none" w:sz="0" w:space="0" w:color="auto"/>
            <w:bottom w:val="none" w:sz="0" w:space="0" w:color="auto"/>
            <w:right w:val="none" w:sz="0" w:space="0" w:color="auto"/>
          </w:divBdr>
        </w:div>
      </w:divsChild>
    </w:div>
    <w:div w:id="1075472231">
      <w:bodyDiv w:val="1"/>
      <w:marLeft w:val="0"/>
      <w:marRight w:val="0"/>
      <w:marTop w:val="0"/>
      <w:marBottom w:val="0"/>
      <w:divBdr>
        <w:top w:val="none" w:sz="0" w:space="0" w:color="auto"/>
        <w:left w:val="none" w:sz="0" w:space="0" w:color="auto"/>
        <w:bottom w:val="none" w:sz="0" w:space="0" w:color="auto"/>
        <w:right w:val="none" w:sz="0" w:space="0" w:color="auto"/>
      </w:divBdr>
    </w:div>
    <w:div w:id="1564608920">
      <w:bodyDiv w:val="1"/>
      <w:marLeft w:val="0"/>
      <w:marRight w:val="0"/>
      <w:marTop w:val="0"/>
      <w:marBottom w:val="0"/>
      <w:divBdr>
        <w:top w:val="none" w:sz="0" w:space="0" w:color="auto"/>
        <w:left w:val="none" w:sz="0" w:space="0" w:color="auto"/>
        <w:bottom w:val="none" w:sz="0" w:space="0" w:color="auto"/>
        <w:right w:val="none" w:sz="0" w:space="0" w:color="auto"/>
      </w:divBdr>
      <w:divsChild>
        <w:div w:id="2014144379">
          <w:marLeft w:val="547"/>
          <w:marRight w:val="0"/>
          <w:marTop w:val="154"/>
          <w:marBottom w:val="0"/>
          <w:divBdr>
            <w:top w:val="none" w:sz="0" w:space="0" w:color="auto"/>
            <w:left w:val="none" w:sz="0" w:space="0" w:color="auto"/>
            <w:bottom w:val="none" w:sz="0" w:space="0" w:color="auto"/>
            <w:right w:val="none" w:sz="0" w:space="0" w:color="auto"/>
          </w:divBdr>
        </w:div>
        <w:div w:id="1240017698">
          <w:marLeft w:val="547"/>
          <w:marRight w:val="0"/>
          <w:marTop w:val="154"/>
          <w:marBottom w:val="0"/>
          <w:divBdr>
            <w:top w:val="none" w:sz="0" w:space="0" w:color="auto"/>
            <w:left w:val="none" w:sz="0" w:space="0" w:color="auto"/>
            <w:bottom w:val="none" w:sz="0" w:space="0" w:color="auto"/>
            <w:right w:val="none" w:sz="0" w:space="0" w:color="auto"/>
          </w:divBdr>
        </w:div>
      </w:divsChild>
    </w:div>
    <w:div w:id="1569995121">
      <w:bodyDiv w:val="1"/>
      <w:marLeft w:val="0"/>
      <w:marRight w:val="0"/>
      <w:marTop w:val="0"/>
      <w:marBottom w:val="0"/>
      <w:divBdr>
        <w:top w:val="none" w:sz="0" w:space="0" w:color="auto"/>
        <w:left w:val="none" w:sz="0" w:space="0" w:color="auto"/>
        <w:bottom w:val="none" w:sz="0" w:space="0" w:color="auto"/>
        <w:right w:val="none" w:sz="0" w:space="0" w:color="auto"/>
      </w:divBdr>
    </w:div>
    <w:div w:id="21010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r/randomwalktheory.asp" TargetMode="External"/><Relationship Id="rId13" Type="http://schemas.openxmlformats.org/officeDocument/2006/relationships/image" Target="media/image2.gif"/><Relationship Id="rId18" Type="http://schemas.openxmlformats.org/officeDocument/2006/relationships/hyperlink" Target="http://www.investopedia.com/video/play/correlation/" TargetMode="External"/><Relationship Id="rId26" Type="http://schemas.openxmlformats.org/officeDocument/2006/relationships/hyperlink" Target="http://www.investopedia.com/terms/s/sovereignrisk.asp" TargetMode="External"/><Relationship Id="rId3" Type="http://schemas.openxmlformats.org/officeDocument/2006/relationships/settings" Target="settings.xml"/><Relationship Id="rId21" Type="http://schemas.openxmlformats.org/officeDocument/2006/relationships/hyperlink" Target="http://www.investopedia.com/terms/v/var.asp" TargetMode="External"/><Relationship Id="rId7" Type="http://schemas.openxmlformats.org/officeDocument/2006/relationships/hyperlink" Target="http://www.investopedia.com/terms/t/timehorizon.asp" TargetMode="External"/><Relationship Id="rId12" Type="http://schemas.openxmlformats.org/officeDocument/2006/relationships/hyperlink" Target="http://www.investopedia.com/university/excel-finance/" TargetMode="External"/><Relationship Id="rId17" Type="http://schemas.openxmlformats.org/officeDocument/2006/relationships/hyperlink" Target="http://www.investopedia.com/terms/v/var.asp" TargetMode="External"/><Relationship Id="rId25" Type="http://schemas.openxmlformats.org/officeDocument/2006/relationships/hyperlink" Target="http://www.investopedia.com/terms/p/politicalrisk.asp"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www.investopedia.com/terms/i/investment.asp" TargetMode="External"/><Relationship Id="rId1" Type="http://schemas.openxmlformats.org/officeDocument/2006/relationships/numbering" Target="numbering.xml"/><Relationship Id="rId6" Type="http://schemas.openxmlformats.org/officeDocument/2006/relationships/hyperlink" Target="http://www.investopedia.com/terms/c/confidenceinterval.asp" TargetMode="External"/><Relationship Id="rId11" Type="http://schemas.openxmlformats.org/officeDocument/2006/relationships/image" Target="media/image1.png"/><Relationship Id="rId24" Type="http://schemas.openxmlformats.org/officeDocument/2006/relationships/hyperlink" Target="http://www.investopedia.com/video/play/systematic-risk/" TargetMode="External"/><Relationship Id="rId5" Type="http://schemas.openxmlformats.org/officeDocument/2006/relationships/hyperlink" Target="http://www.investopedia.com/terms/v/var.asp" TargetMode="External"/><Relationship Id="rId15" Type="http://schemas.openxmlformats.org/officeDocument/2006/relationships/image" Target="media/image4.gif"/><Relationship Id="rId23" Type="http://schemas.openxmlformats.org/officeDocument/2006/relationships/hyperlink" Target="http://www.investopedia.com/terms/p/portfolio.asp" TargetMode="External"/><Relationship Id="rId28" Type="http://schemas.openxmlformats.org/officeDocument/2006/relationships/theme" Target="theme/theme1.xml"/><Relationship Id="rId10" Type="http://schemas.openxmlformats.org/officeDocument/2006/relationships/hyperlink" Target="http://www.investopedia.com/terms/e/efficientmarkethypothesis.asp" TargetMode="External"/><Relationship Id="rId19" Type="http://schemas.openxmlformats.org/officeDocument/2006/relationships/hyperlink" Target="http://www.investopedia.com/terms/p/portfolio.asp" TargetMode="External"/><Relationship Id="rId4" Type="http://schemas.openxmlformats.org/officeDocument/2006/relationships/webSettings" Target="webSettings.xml"/><Relationship Id="rId9" Type="http://schemas.openxmlformats.org/officeDocument/2006/relationships/hyperlink" Target="http://www.investopedia.com/terms/w/weakform.asp" TargetMode="External"/><Relationship Id="rId14" Type="http://schemas.openxmlformats.org/officeDocument/2006/relationships/image" Target="media/image3.gif"/><Relationship Id="rId22" Type="http://schemas.openxmlformats.org/officeDocument/2006/relationships/hyperlink" Target="http://www.investopedia.com/video/play/correl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SMBC Capital Markets, Inc.</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Chunmei Zhu</dc:creator>
  <cp:keywords/>
  <dc:description/>
  <cp:lastModifiedBy>Chunmei Zhu</cp:lastModifiedBy>
  <cp:revision>1</cp:revision>
  <dcterms:created xsi:type="dcterms:W3CDTF">2017-10-30T19:18:00Z</dcterms:created>
  <dcterms:modified xsi:type="dcterms:W3CDTF">2017-10-30T21:24:00Z</dcterms:modified>
</cp:coreProperties>
</file>