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655320</wp:posOffset>
                </wp:positionH>
                <wp:positionV relativeFrom="page">
                  <wp:posOffset>7618</wp:posOffset>
                </wp:positionV>
                <wp:extent cx="155575" cy="106851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8213" y="0"/>
                          <a:ext cx="155575" cy="10685145"/>
                          <a:chOff x="5268213" y="0"/>
                          <a:chExt cx="155575" cy="7560000"/>
                        </a:xfrm>
                      </wpg:grpSpPr>
                      <wpg:grpSp>
                        <wpg:cNvGrpSpPr/>
                        <wpg:grpSpPr>
                          <a:xfrm>
                            <a:off x="5268213" y="0"/>
                            <a:ext cx="155575" cy="7560000"/>
                            <a:chOff x="0" y="0"/>
                            <a:chExt cx="155575" cy="106851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5575" cy="10685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5880" y="0"/>
                              <a:ext cx="38100" cy="10685145"/>
                            </a:xfrm>
                            <a:custGeom>
                              <a:rect b="b" l="l" r="r" t="t"/>
                              <a:pathLst>
                                <a:path extrusionOk="0" h="10685145" w="38100">
                                  <a:moveTo>
                                    <a:pt x="38100" y="0"/>
                                  </a:moveTo>
                                  <a:lnTo>
                                    <a:pt x="1270" y="0"/>
                                  </a:lnTo>
                                  <a:lnTo>
                                    <a:pt x="1270" y="8627110"/>
                                  </a:lnTo>
                                  <a:lnTo>
                                    <a:pt x="0" y="8627110"/>
                                  </a:lnTo>
                                  <a:lnTo>
                                    <a:pt x="0" y="10684510"/>
                                  </a:lnTo>
                                  <a:lnTo>
                                    <a:pt x="1270" y="10684510"/>
                                  </a:lnTo>
                                  <a:lnTo>
                                    <a:pt x="34925" y="10684510"/>
                                  </a:lnTo>
                                  <a:lnTo>
                                    <a:pt x="38100" y="10684510"/>
                                  </a:lnTo>
                                  <a:lnTo>
                                    <a:pt x="38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EF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655320</wp:posOffset>
                </wp:positionH>
                <wp:positionV relativeFrom="page">
                  <wp:posOffset>7618</wp:posOffset>
                </wp:positionV>
                <wp:extent cx="155575" cy="1068514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75" cy="10685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pos="8621"/>
        </w:tabs>
        <w:spacing w:before="20" w:lineRule="auto"/>
        <w:ind w:left="1191" w:right="0" w:firstLine="0"/>
        <w:jc w:val="left"/>
        <w:rPr>
          <w:b w:val="1"/>
          <w:color w:val="31313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color w:val="313131"/>
          <w:sz w:val="40"/>
          <w:szCs w:val="40"/>
          <w:rtl w:val="0"/>
        </w:rPr>
        <w:t xml:space="preserve">PUBLICA</w:t>
      </w:r>
      <w:r w:rsidDel="00000000" w:rsidR="00000000" w:rsidRPr="00000000">
        <w:rPr>
          <w:b w:val="1"/>
          <w:color w:val="313131"/>
          <w:sz w:val="40"/>
          <w:szCs w:val="40"/>
          <w:rtl w:val="0"/>
        </w:rPr>
        <w:t xml:space="preserve">ȚII ȘI CONFERINȚE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6102603</wp:posOffset>
            </wp:positionH>
            <wp:positionV relativeFrom="paragraph">
              <wp:posOffset>103669</wp:posOffset>
            </wp:positionV>
            <wp:extent cx="111251" cy="143255"/>
            <wp:effectExtent b="0" l="0" r="0" t="0"/>
            <wp:wrapNone/>
            <wp:docPr descr="C:\Users\acecreamu\Downloads\1200px-Mouse-cursor-hand-pointer.png" id="7" name="image1.png"/>
            <a:graphic>
              <a:graphicData uri="http://schemas.openxmlformats.org/drawingml/2006/picture">
                <pic:pic>
                  <pic:nvPicPr>
                    <pic:cNvPr descr="C:\Users\acecreamu\Downloads\1200px-Mouse-cursor-hand-pointer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43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75184</wp:posOffset>
            </wp:positionH>
            <wp:positionV relativeFrom="paragraph">
              <wp:posOffset>-33489</wp:posOffset>
            </wp:positionV>
            <wp:extent cx="138684" cy="630935"/>
            <wp:effectExtent b="0" l="0" r="0" t="0"/>
            <wp:wrapNone/>
            <wp:docPr descr="D:\myDocuments\source\icons.png" id="13" name="image5.png"/>
            <a:graphic>
              <a:graphicData uri="http://schemas.openxmlformats.org/drawingml/2006/picture">
                <pic:pic>
                  <pic:nvPicPr>
                    <pic:cNvPr descr="D:\myDocuments\source\icons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630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pos="8621"/>
        </w:tabs>
        <w:spacing w:before="20" w:lineRule="auto"/>
        <w:ind w:left="1191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313131"/>
          <w:sz w:val="40"/>
          <w:szCs w:val="4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313131"/>
          <w:sz w:val="22"/>
          <w:szCs w:val="22"/>
          <w:u w:val="single"/>
          <w:rtl w:val="0"/>
        </w:rPr>
        <w:t xml:space="preserve">Clickable!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67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Participare la secțiunea Atelier de traduceri (limba engleză).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123825</wp:posOffset>
            </wp:positionV>
            <wp:extent cx="155575" cy="15557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1"/>
        <w:ind w:firstLine="1191"/>
        <w:rPr/>
      </w:pPr>
      <w:r w:rsidDel="00000000" w:rsidR="00000000" w:rsidRPr="00000000">
        <w:rPr>
          <w:rtl w:val="0"/>
        </w:rPr>
        <w:t xml:space="preserve">Colocviul Internațional Universitar „Lucian Blaga”, Ediția a XXIII-a (online), Sibiu, 27-30 octombrie 2021 </w:t>
      </w:r>
    </w:p>
    <w:p w:rsidR="00000000" w:rsidDel="00000000" w:rsidP="00000000" w:rsidRDefault="00000000" w:rsidRPr="00000000" w14:paraId="00000006">
      <w:pPr>
        <w:spacing w:before="3" w:lineRule="auto"/>
        <w:ind w:left="1191" w:right="0" w:firstLine="0"/>
        <w:jc w:val="left"/>
        <w:rPr>
          <w:i w:val="1"/>
          <w:color w:val="252525"/>
          <w:sz w:val="16"/>
          <w:szCs w:val="16"/>
        </w:rPr>
      </w:pPr>
      <w:r w:rsidDel="00000000" w:rsidR="00000000" w:rsidRPr="00000000">
        <w:rPr>
          <w:i w:val="1"/>
          <w:color w:val="252525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3" w:lineRule="auto"/>
        <w:ind w:left="1191" w:right="0" w:firstLine="0"/>
        <w:jc w:val="left"/>
        <w:rPr>
          <w:i w:val="1"/>
          <w:color w:val="25252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1191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rtl w:val="0"/>
        </w:rPr>
        <w:t xml:space="preserve">Natura duală și importanța lecturii în universul romanelor distopice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42863</wp:posOffset>
            </wp:positionV>
            <wp:extent cx="155575" cy="15557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1"/>
        <w:spacing w:before="1" w:lineRule="auto"/>
        <w:ind w:firstLine="1191"/>
        <w:rPr>
          <w:rFonts w:ascii="Calibri" w:cs="Calibri" w:eastAsia="Calibri" w:hAnsi="Calibri"/>
          <w:b w:val="0"/>
          <w:i w:val="1"/>
        </w:rPr>
      </w:pPr>
      <w:r w:rsidDel="00000000" w:rsidR="00000000" w:rsidRPr="00000000">
        <w:rPr>
          <w:rtl w:val="0"/>
        </w:rPr>
        <w:t xml:space="preserve">Sesiunea de studii și comunicări de literatură comparată, iconologie și ekphrastică, ediția a XVIII-a, 21 mai 2021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1"/>
            <w:color w:val="252525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color w:val="000000"/>
          <w:u w:val="none"/>
          <w:rtl w:val="0"/>
        </w:rPr>
        <w:t xml:space="preserve">Morții care se întorc: reproșurile și pildele lor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1"/>
            <w:smallCaps w:val="0"/>
            <w:strike w:val="0"/>
            <w:color w:val="252525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42863</wp:posOffset>
            </wp:positionV>
            <wp:extent cx="155575" cy="1555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Style w:val="Heading1"/>
        <w:spacing w:line="267" w:lineRule="auto"/>
        <w:ind w:firstLine="1191"/>
        <w:rPr/>
      </w:pPr>
      <w:r w:rsidDel="00000000" w:rsidR="00000000" w:rsidRPr="00000000">
        <w:rPr>
          <w:rtl w:val="0"/>
        </w:rPr>
        <w:t xml:space="preserve">Conferința cu participare Internațională „Educația Lingvistică și Literară în contextul dezvoltării valorilor general-umane,” ediția a II-a, Facultatea de Filologie, Universitatea de Stat din Tiraspol, 20-21 mai 2021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color w:val="000000"/>
          <w:u w:val="none"/>
          <w:rtl w:val="0"/>
        </w:rPr>
        <w:t xml:space="preserve">The Victorian novel – gender norms and Protofeminism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1"/>
            <w:smallCaps w:val="0"/>
            <w:strike w:val="0"/>
            <w:color w:val="252525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57150</wp:posOffset>
            </wp:positionV>
            <wp:extent cx="155575" cy="155575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1"/>
        <w:ind w:firstLine="1191"/>
        <w:rPr/>
      </w:pPr>
      <w:r w:rsidDel="00000000" w:rsidR="00000000" w:rsidRPr="00000000">
        <w:rPr>
          <w:rtl w:val="0"/>
        </w:rPr>
        <w:t xml:space="preserve">Conferinţa Știinţifică Studențească cu participare internațională, ediţia a 70-a, Universitatea de Stat din Tiraspol, 28 aprilie 2021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The Harsh Condition of the Victorian Women. Charlotte Bronte – a Protofeminist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23813</wp:posOffset>
            </wp:positionV>
            <wp:extent cx="155575" cy="15557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Style w:val="Heading1"/>
        <w:ind w:firstLine="1191"/>
        <w:rPr/>
      </w:pPr>
      <w:r w:rsidDel="00000000" w:rsidR="00000000" w:rsidRPr="00000000">
        <w:rPr>
          <w:rtl w:val="0"/>
        </w:rPr>
        <w:t xml:space="preserve">Student’s International Conference CERC 2021, Ministry of National Defence, Military Technical Academy “Ferdinand I,” April 22-24, 2021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Participare la secțiunea Atelier de traduceri (limba engleză)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19050</wp:posOffset>
            </wp:positionV>
            <wp:extent cx="155575" cy="155575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1"/>
        <w:ind w:firstLine="1191"/>
        <w:rPr/>
      </w:pPr>
      <w:r w:rsidDel="00000000" w:rsidR="00000000" w:rsidRPr="00000000">
        <w:rPr>
          <w:rtl w:val="0"/>
        </w:rPr>
        <w:t xml:space="preserve">Colocviul Național Studențesc „Mihai Eminescu”, Ediţia a XLVI-a, 19-20 noiembrie 2020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hyperlink r:id="rId14">
        <w:r w:rsidDel="00000000" w:rsidR="00000000" w:rsidRPr="00000000">
          <w:rPr>
            <w:i w:val="1"/>
            <w:color w:val="252525"/>
            <w:rtl w:val="0"/>
          </w:rPr>
          <w:t xml:space="preserve">Perfecționarea educației antreprenoriale din România prin folosirea metodelor nonformale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0"/>
            <w:i w:val="1"/>
            <w:smallCaps w:val="0"/>
            <w:strike w:val="0"/>
            <w:color w:val="252525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19050</wp:posOffset>
            </wp:positionV>
            <wp:extent cx="155575" cy="15748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1"/>
        <w:ind w:firstLine="1191"/>
        <w:rPr/>
      </w:pPr>
      <w:r w:rsidDel="00000000" w:rsidR="00000000" w:rsidRPr="00000000">
        <w:rPr>
          <w:rtl w:val="0"/>
        </w:rPr>
        <w:t xml:space="preserve">Zilele Universitare Europene. Educație și Dezvoltare Sustenabilă în U.E.28, ediția a VII-a, Universitatea “Petrol-Gaze”din Ploiești, Nov 18-20, 2020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191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252525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179068</wp:posOffset>
            </wp:positionV>
            <wp:extent cx="155575" cy="155575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color w:val="252525"/>
          <w:rtl w:val="0"/>
        </w:rPr>
        <w:t xml:space="preserve">The rest is Silence – The Perspective on Death and the Encounter with the Supernatural in Hamlet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1191"/>
        <w:rPr>
          <w:rFonts w:ascii="Calibri" w:cs="Calibri" w:eastAsia="Calibri" w:hAnsi="Calibri"/>
          <w:b w:val="0"/>
          <w:i w:val="1"/>
        </w:rPr>
      </w:pPr>
      <w:r w:rsidDel="00000000" w:rsidR="00000000" w:rsidRPr="00000000">
        <w:rPr>
          <w:color w:val="252525"/>
          <w:rtl w:val="0"/>
        </w:rPr>
        <w:t xml:space="preserve">Student’s International Conference CERC 2020, Ministry of National Defence, Military Technical Academy “Ferdinand I,” Bucharest, November 06-07,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color w:val="313131"/>
          <w:rtl w:val="0"/>
        </w:rPr>
        <w:t xml:space="preserve">Studiu de monitorizare a economiei și societății digitale în România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57150</wp:posOffset>
            </wp:positionV>
            <wp:extent cx="155575" cy="155575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Style w:val="Heading1"/>
        <w:ind w:firstLine="1191"/>
        <w:rPr/>
      </w:pPr>
      <w:r w:rsidDel="00000000" w:rsidR="00000000" w:rsidRPr="00000000">
        <w:rPr>
          <w:color w:val="313131"/>
          <w:rtl w:val="0"/>
        </w:rPr>
        <w:t xml:space="preserve">Sesiunea Națională de Comunicări Științifice Studențești „Economia și Societatea Digitală”, ediția a IV-a, Universitatea “Petrol-Gaze”din Ploiești, Nov 04-06,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Se vor schimba vreodată lucrurile?”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155575" cy="155575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Style w:val="Heading1"/>
        <w:spacing w:line="267" w:lineRule="auto"/>
        <w:ind w:firstLine="1191"/>
        <w:rPr/>
      </w:pPr>
      <w:r w:rsidDel="00000000" w:rsidR="00000000" w:rsidRPr="00000000">
        <w:rPr>
          <w:rtl w:val="0"/>
        </w:rPr>
        <w:t xml:space="preserve">Conferința Internațională a Studenților și Masteranzilor „Viitorul ne aparține,” ediția a X-a, Universitatea de Stat „Dimitrie Cantemir”, 20 mai 2020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1191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0" w:top="0" w:left="340" w:right="6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1"/>
    </w:pPr>
    <w:rPr>
      <w:rFonts w:ascii="Calibri" w:cs="Calibri" w:eastAsia="Calibri" w:hAnsi="Calibri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1902.00311" TargetMode="External"/><Relationship Id="rId10" Type="http://schemas.openxmlformats.org/officeDocument/2006/relationships/hyperlink" Target="https://arxiv.org/abs/1905.07984" TargetMode="External"/><Relationship Id="rId13" Type="http://schemas.openxmlformats.org/officeDocument/2006/relationships/hyperlink" Target="https://arxiv.org/abs/1905.05010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openaccess.thecvf.com/content_CVPRW_2019/html/MBCCV/Sidorov_Changing_the_Image_Memorability_From_Basic_Photo_Editing_to_GANs_CVPRW_2019_paper.html" TargetMode="External"/><Relationship Id="rId14" Type="http://schemas.openxmlformats.org/officeDocument/2006/relationships/hyperlink" Target="http://openaccess.thecvf.com/content_CVPRW_2019/html/MBCCV/Sidorov_Changing_the_Image_Memorability_From_Basic_Photo_Editing_to_GANs_CVPRW_2019_paper.html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