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1BB040EE"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4A0025">
        <w:rPr>
          <w:color w:val="000000" w:themeColor="text1"/>
        </w:rPr>
        <w:t>{</w:t>
      </w:r>
      <w:proofErr w:type="spellStart"/>
      <w:r w:rsidR="004A0025">
        <w:rPr>
          <w:color w:val="000000" w:themeColor="text1"/>
        </w:rPr>
        <w:t>ExecutionDate</w:t>
      </w:r>
      <w:proofErr w:type="spellEnd"/>
      <w:r w:rsidR="004A0025">
        <w:rPr>
          <w:color w:val="000000" w:themeColor="text1"/>
        </w:rPr>
        <w:t>}</w:t>
      </w:r>
      <w:r w:rsidR="00EF292F">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by and between</w:t>
      </w:r>
      <w:r w:rsidR="005C425F">
        <w:rPr>
          <w:color w:val="000000" w:themeColor="text1"/>
        </w:rPr>
        <w:t xml:space="preserve"> {Owner}</w:t>
      </w:r>
      <w:r w:rsidR="00617C6E" w:rsidRPr="00C06AED">
        <w:rPr>
          <w:color w:val="000000" w:themeColor="text1"/>
          <w:szCs w:val="24"/>
        </w:rPr>
        <w:t>,</w:t>
      </w:r>
      <w:r w:rsidR="00617C6E" w:rsidRPr="00602699">
        <w:rPr>
          <w:color w:val="000000" w:themeColor="text1"/>
        </w:rPr>
        <w:t xml:space="preserve"> </w:t>
      </w:r>
      <w:r w:rsidR="00EE3308">
        <w:rPr>
          <w:color w:val="000000" w:themeColor="text1"/>
        </w:rPr>
        <w:t xml:space="preserve">a </w:t>
      </w:r>
      <w:r w:rsidR="00E0200F">
        <w:rPr>
          <w:color w:val="000000" w:themeColor="text1"/>
        </w:rPr>
        <w:t>{</w:t>
      </w:r>
      <w:proofErr w:type="spellStart"/>
      <w:r w:rsidR="00E0200F">
        <w:rPr>
          <w:color w:val="000000" w:themeColor="text1"/>
        </w:rPr>
        <w:t>OwnerStateOfFormation</w:t>
      </w:r>
      <w:proofErr w:type="spellEnd"/>
      <w:r w:rsidR="00E0200F">
        <w:rPr>
          <w:color w:val="000000" w:themeColor="text1"/>
        </w:rPr>
        <w:t>}</w:t>
      </w:r>
      <w:r w:rsidR="00617C6E" w:rsidRPr="00602699">
        <w:rPr>
          <w:color w:val="000000" w:themeColor="text1"/>
        </w:rPr>
        <w:t xml:space="preserve"> limited </w:t>
      </w:r>
      <w:r w:rsidR="007D40DA">
        <w:rPr>
          <w:color w:val="000000" w:themeColor="text1"/>
        </w:rPr>
        <w:t>{</w:t>
      </w:r>
      <w:proofErr w:type="spellStart"/>
      <w:r w:rsidR="007D40DA">
        <w:rPr>
          <w:color w:val="000000" w:themeColor="text1"/>
        </w:rPr>
        <w:t>CompanyChoice</w:t>
      </w:r>
      <w:proofErr w:type="spellEnd"/>
      <w:r w:rsidR="007D40DA">
        <w:rPr>
          <w:color w:val="000000" w:themeColor="text1"/>
        </w:rPr>
        <w:t xml:space="preserve">} </w:t>
      </w:r>
      <w:r w:rsidR="00BD4FAA" w:rsidRPr="00602699">
        <w:rPr>
          <w:color w:val="000000" w:themeColor="text1"/>
        </w:rPr>
        <w:t>(“</w:t>
      </w:r>
      <w:r w:rsidR="00BD4FAA" w:rsidRPr="00602699">
        <w:rPr>
          <w:color w:val="000000" w:themeColor="text1"/>
          <w:u w:val="single"/>
        </w:rPr>
        <w:t>Owner</w:t>
      </w:r>
      <w:r w:rsidR="00BD4FAA" w:rsidRPr="00602699">
        <w:rPr>
          <w:color w:val="000000" w:themeColor="text1"/>
        </w:rPr>
        <w:t>”), and</w:t>
      </w:r>
      <w:r w:rsidR="00BD4FAA" w:rsidRPr="00602699">
        <w:rPr>
          <w:b/>
          <w:color w:val="000000" w:themeColor="text1"/>
        </w:rPr>
        <w:t xml:space="preserve"> </w:t>
      </w:r>
      <w:r w:rsidR="0033366E">
        <w:rPr>
          <w:color w:val="000000" w:themeColor="text1"/>
        </w:rPr>
        <w:t>{</w:t>
      </w:r>
      <w:proofErr w:type="spellStart"/>
      <w:r w:rsidR="0033366E">
        <w:rPr>
          <w:color w:val="000000" w:themeColor="text1"/>
        </w:rPr>
        <w:t>ContractorName</w:t>
      </w:r>
      <w:proofErr w:type="spellEnd"/>
      <w:r w:rsidR="0033366E">
        <w:rPr>
          <w:color w:val="000000" w:themeColor="text1"/>
        </w:rPr>
        <w:t>}</w:t>
      </w:r>
      <w:r w:rsidR="00BD4FAA" w:rsidRPr="00602699">
        <w:rPr>
          <w:color w:val="000000" w:themeColor="text1"/>
        </w:rPr>
        <w:t xml:space="preserve">, 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5E47BF77" w:rsidR="005E09B2" w:rsidRPr="00602699" w:rsidRDefault="005E09B2" w:rsidP="00BD4FAA">
      <w:pPr>
        <w:spacing w:after="240"/>
        <w:ind w:firstLine="720"/>
        <w:jc w:val="both"/>
        <w:rPr>
          <w:color w:val="000000" w:themeColor="text1"/>
        </w:rPr>
      </w:pPr>
      <w:r w:rsidRPr="00602699">
        <w:rPr>
          <w:color w:val="000000" w:themeColor="text1"/>
        </w:rPr>
        <w:t xml:space="preserve">WHEREAS,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 xml:space="preserve">property </w:t>
      </w:r>
      <w:r w:rsidR="00BD4FAA" w:rsidRPr="00602699">
        <w:rPr>
          <w:color w:val="000000" w:themeColor="text1"/>
        </w:rPr>
        <w:t xml:space="preserve">[referred to as </w:t>
      </w:r>
      <w:r w:rsidR="00EE3308">
        <w:rPr>
          <w:color w:val="000000" w:themeColor="text1"/>
        </w:rPr>
        <w:t>{</w:t>
      </w:r>
      <w:r w:rsidR="005C49A9">
        <w:rPr>
          <w:color w:val="000000" w:themeColor="text1"/>
        </w:rPr>
        <w:t>Owner</w:t>
      </w:r>
      <w:r w:rsidR="00EE3308">
        <w:rPr>
          <w:color w:val="000000" w:themeColor="text1"/>
        </w:rPr>
        <w:t>}</w:t>
      </w:r>
      <w:r w:rsidR="00BD4FAA" w:rsidRPr="00602699">
        <w:rPr>
          <w:color w:val="000000" w:themeColor="text1"/>
        </w:rPr>
        <w:t xml:space="preserve">] located at </w:t>
      </w:r>
      <w:r w:rsidR="005C49A9">
        <w:rPr>
          <w:color w:val="000000" w:themeColor="text1"/>
        </w:rPr>
        <w:t>{</w:t>
      </w:r>
      <w:proofErr w:type="spellStart"/>
      <w:r w:rsidR="005C49A9">
        <w:rPr>
          <w:color w:val="000000" w:themeColor="text1"/>
        </w:rPr>
        <w:t>PropertyAddress</w:t>
      </w:r>
      <w:proofErr w:type="spellEnd"/>
      <w:r w:rsidR="005C49A9">
        <w:rPr>
          <w:color w:val="000000" w:themeColor="text1"/>
        </w:rPr>
        <w:t>}</w:t>
      </w:r>
      <w:r w:rsidR="00BD4FAA" w:rsidRPr="00602699">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30B555A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5501AE">
        <w:rPr>
          <w:color w:val="000000" w:themeColor="text1"/>
        </w:rPr>
        <w:t xml:space="preserve"> </w:t>
      </w:r>
      <w:r w:rsidR="00D17BB1">
        <w:rPr>
          <w:color w:val="000000" w:themeColor="text1"/>
        </w:rPr>
        <w:t>{</w:t>
      </w:r>
      <w:proofErr w:type="spellStart"/>
      <w:r w:rsidR="00D17BB1">
        <w:rPr>
          <w:color w:val="000000" w:themeColor="text1"/>
        </w:rPr>
        <w:t>scopeService</w:t>
      </w:r>
      <w:proofErr w:type="spellEnd"/>
      <w:r w:rsidR="00D17BB1">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7FED791E"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 xml:space="preserve">commence performance of the Services [on][OR][no later than] </w:t>
      </w:r>
      <w:r w:rsidR="0067491C">
        <w:rPr>
          <w:color w:val="000000" w:themeColor="text1"/>
        </w:rPr>
        <w:t>{</w:t>
      </w:r>
      <w:proofErr w:type="spellStart"/>
      <w:r w:rsidR="0067491C">
        <w:rPr>
          <w:color w:val="000000" w:themeColor="text1"/>
        </w:rPr>
        <w:t>CommencementDate</w:t>
      </w:r>
      <w:proofErr w:type="spellEnd"/>
      <w:r w:rsidR="0067491C">
        <w:rPr>
          <w:color w:val="000000" w:themeColor="text1"/>
        </w:rPr>
        <w:t>}</w:t>
      </w:r>
      <w:r w:rsidRPr="00602699">
        <w:rPr>
          <w:color w:val="000000" w:themeColor="text1"/>
        </w:rPr>
        <w:t xml:space="preserve">, and (b) [perform the Services through][OR][complete the Services no later than </w:t>
      </w:r>
      <w:r w:rsidR="0067491C">
        <w:rPr>
          <w:color w:val="000000" w:themeColor="text1"/>
        </w:rPr>
        <w:t>{</w:t>
      </w:r>
      <w:proofErr w:type="spellStart"/>
      <w:r w:rsidR="0067491C">
        <w:rPr>
          <w:color w:val="000000" w:themeColor="text1"/>
        </w:rPr>
        <w:t>ExpirationDate</w:t>
      </w:r>
      <w:proofErr w:type="spellEnd"/>
      <w:r w:rsidR="0067491C">
        <w:rPr>
          <w:color w:val="000000" w:themeColor="text1"/>
        </w:rPr>
        <w:t>}</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 xml:space="preserve">site visit to the </w:t>
      </w:r>
      <w:r w:rsidR="00A15CA0" w:rsidRPr="00602699">
        <w:rPr>
          <w:color w:val="000000" w:themeColor="text1"/>
        </w:rPr>
        <w:lastRenderedPageBreak/>
        <w:t>Property</w:t>
      </w:r>
      <w:r w:rsidR="00617C6E" w:rsidRPr="00602699">
        <w:rPr>
          <w:color w:val="000000" w:themeColor="text1"/>
        </w:rPr>
        <w:t xml:space="preserve"> by Consultant</w:t>
      </w:r>
      <w:r w:rsidR="00A15CA0" w:rsidRPr="00602699">
        <w:rPr>
          <w:color w:val="000000" w:themeColor="text1"/>
        </w:rPr>
        <w:t xml:space="preserve">, and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4B2E5CC9"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Subject to additions or deductions as hereinbefore or hereinafter provided, Owner shall pay Consultant</w:t>
      </w:r>
      <w:r w:rsidR="00C06AED" w:rsidRPr="00C06AED">
        <w:rPr>
          <w:color w:val="000000" w:themeColor="text1"/>
        </w:rPr>
        <w:t>[</w:t>
      </w:r>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8C59C4">
        <w:rPr>
          <w:color w:val="000000" w:themeColor="text1"/>
        </w:rPr>
        <w:t>{</w:t>
      </w:r>
      <w:proofErr w:type="spellStart"/>
      <w:r w:rsidR="008C59C4">
        <w:rPr>
          <w:color w:val="000000" w:themeColor="text1"/>
        </w:rPr>
        <w:t>ContractAmountSpell</w:t>
      </w:r>
      <w:proofErr w:type="spellEnd"/>
      <w:r w:rsidR="008C59C4">
        <w:rPr>
          <w:color w:val="000000" w:themeColor="text1"/>
        </w:rPr>
        <w:t>}</w:t>
      </w:r>
      <w:r w:rsidR="00B815B7">
        <w:t xml:space="preserve">Dollars </w:t>
      </w:r>
      <w:r w:rsidRPr="00C06AED">
        <w:rPr>
          <w:color w:val="000000" w:themeColor="text1"/>
        </w:rPr>
        <w:t>($</w:t>
      </w:r>
      <w:r w:rsidR="00756FFE">
        <w:rPr>
          <w:bCs/>
          <w:color w:val="000000" w:themeColor="text1"/>
        </w:rPr>
        <w:t>{</w:t>
      </w:r>
      <w:proofErr w:type="spellStart"/>
      <w:r w:rsidR="00756FFE">
        <w:rPr>
          <w:bCs/>
          <w:color w:val="000000" w:themeColor="text1"/>
        </w:rPr>
        <w:t>ContractAmount</w:t>
      </w:r>
      <w:proofErr w:type="spellEnd"/>
      <w:r w:rsidR="00756FFE">
        <w:rPr>
          <w:bCs/>
          <w:color w:val="000000" w:themeColor="text1"/>
        </w:rPr>
        <w: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$[_______][NOTE:  BREAK DOWN (IF REQUIRED)]</w:t>
      </w:r>
    </w:p>
    <w:p w14:paraId="3F67149F" w14:textId="12104AEF"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BB5E3C">
        <w:rPr>
          <w:color w:val="000000" w:themeColor="text1"/>
        </w:rPr>
        <w:t>{</w:t>
      </w:r>
      <w:proofErr w:type="spellStart"/>
      <w:r w:rsidR="00BB5E3C">
        <w:rPr>
          <w:color w:val="000000" w:themeColor="text1"/>
        </w:rPr>
        <w:t>MonthlyCompensationSpell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MonthlyCompensation</w:t>
      </w:r>
      <w:proofErr w:type="spellEnd"/>
      <w:r w:rsidR="002D6696">
        <w:rPr>
          <w:color w:val="000000" w:themeColor="text1"/>
        </w:rPr>
        <w:t>}</w:t>
      </w:r>
      <w:r w:rsidRPr="00C06AED">
        <w:rPr>
          <w:color w:val="000000" w:themeColor="text1"/>
        </w:rPr>
        <w:t xml:space="preserve">) per month or </w:t>
      </w:r>
      <w:r w:rsidR="00BB5E3C">
        <w:rPr>
          <w:color w:val="000000" w:themeColor="text1"/>
        </w:rPr>
        <w:t>{</w:t>
      </w:r>
      <w:proofErr w:type="spellStart"/>
      <w:r w:rsidR="00BB5E3C">
        <w:rPr>
          <w:color w:val="000000" w:themeColor="text1"/>
        </w:rPr>
        <w:t>YearlyCompensationSpell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YearlyCompensation</w:t>
      </w:r>
      <w:proofErr w:type="spellEnd"/>
      <w:r w:rsidR="002D6696">
        <w:rPr>
          <w:color w:val="000000" w:themeColor="text1"/>
        </w:rPr>
        <w:t>}</w:t>
      </w:r>
      <w:r w:rsidRPr="00C06AED">
        <w:rPr>
          <w:color w:val="000000" w:themeColor="text1"/>
        </w:rPr>
        <w:t>) per year, [</w:t>
      </w:r>
      <w:r>
        <w:rPr>
          <w:color w:val="000000" w:themeColor="text1"/>
        </w:rPr>
        <w:t xml:space="preserve">NOTE:  </w:t>
      </w:r>
      <w:r w:rsidRPr="00C06AED">
        <w:rPr>
          <w:color w:val="000000" w:themeColor="text1"/>
        </w:rPr>
        <w:t xml:space="preserve">FOR EMERGENCY SERVICES: [and for Emergency Services, an amount not to exceed </w:t>
      </w:r>
      <w:r w:rsidR="00BB5E3C">
        <w:rPr>
          <w:color w:val="000000" w:themeColor="text1"/>
        </w:rPr>
        <w:t>{</w:t>
      </w:r>
      <w:proofErr w:type="spellStart"/>
      <w:r w:rsidR="00BB5E3C">
        <w:rPr>
          <w:color w:val="000000" w:themeColor="text1"/>
        </w:rPr>
        <w:t>EmergencyCompensationSpell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EmergencyCompensation</w:t>
      </w:r>
      <w:proofErr w:type="spellEnd"/>
      <w:r w:rsidR="002D6696">
        <w:rPr>
          <w:color w:val="000000" w:themeColor="text1"/>
        </w:rPr>
        <w:t>}</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066BCB">
        <w:rPr>
          <w:color w:val="000000" w:themeColor="text1"/>
        </w:rPr>
        <w:t>{</w:t>
      </w:r>
      <w:proofErr w:type="spellStart"/>
      <w:r w:rsidR="00066BCB">
        <w:rPr>
          <w:color w:val="000000" w:themeColor="text1"/>
        </w:rPr>
        <w:t>compensationTM</w:t>
      </w:r>
      <w:proofErr w:type="spellEnd"/>
      <w:r w:rsidR="00066BCB">
        <w:rPr>
          <w:color w:val="000000" w:themeColor="text1"/>
        </w:rPr>
        <w:t>}</w:t>
      </w:r>
    </w:p>
    <w:p w14:paraId="5CE7338B" w14:textId="673464B2"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BB5E3C">
        <w:rPr>
          <w:color w:val="000000" w:themeColor="text1"/>
        </w:rPr>
        <w:t>{</w:t>
      </w:r>
      <w:proofErr w:type="spellStart"/>
      <w:r w:rsidR="00BB5E3C">
        <w:rPr>
          <w:color w:val="000000" w:themeColor="text1"/>
        </w:rPr>
        <w:t>ReimbursableExpensesSpell</w:t>
      </w:r>
      <w:proofErr w:type="spellEnd"/>
      <w:r w:rsidR="00BB5E3C">
        <w:rPr>
          <w:color w:val="000000" w:themeColor="text1"/>
        </w:rPr>
        <w:t>}</w:t>
      </w:r>
      <w:r w:rsidR="00C06AED" w:rsidRPr="00C06AED">
        <w:rPr>
          <w:color w:val="000000" w:themeColor="text1"/>
        </w:rPr>
        <w:t>Dollars ($</w:t>
      </w:r>
      <w:r w:rsidR="00A432F6">
        <w:rPr>
          <w:color w:val="000000" w:themeColor="text1"/>
        </w:rPr>
        <w:t>{</w:t>
      </w:r>
      <w:proofErr w:type="spellStart"/>
      <w:r w:rsidR="00A432F6">
        <w:rPr>
          <w:color w:val="000000" w:themeColor="text1"/>
        </w:rPr>
        <w:t>ReimbursableExpenses</w:t>
      </w:r>
      <w:proofErr w:type="spellEnd"/>
      <w:r w:rsidR="00A432F6">
        <w:rPr>
          <w:color w:val="000000" w:themeColor="text1"/>
        </w:rPr>
        <w:t>}</w:t>
      </w:r>
      <w:r w:rsidR="00C06AED" w:rsidRPr="00C06AED">
        <w:rPr>
          <w:color w:val="000000" w:themeColor="text1"/>
        </w:rPr>
        <w:t>)</w:t>
      </w:r>
      <w:r w:rsidR="00D15B1D" w:rsidRPr="00C06AED">
        <w:rPr>
          <w:color w:val="000000" w:themeColor="text1"/>
          <w:szCs w:val="24"/>
        </w:rPr>
        <w:t>.</w:t>
      </w:r>
    </w:p>
    <w:p w14:paraId="7FC32727" w14:textId="778564CC" w:rsidR="005E6758" w:rsidRDefault="008D56F1" w:rsidP="005E6758">
      <w:pPr>
        <w:spacing w:after="240"/>
        <w:jc w:val="both"/>
        <w:rPr>
          <w:color w:val="000000" w:themeColor="text1"/>
        </w:rPr>
      </w:pPr>
      <w:r>
        <w:rPr>
          <w:color w:val="000000" w:themeColor="text1"/>
        </w:rPr>
        <w:t xml:space="preserve">            </w:t>
      </w:r>
      <w:r w:rsidR="001942A0">
        <w:rPr>
          <w:color w:val="000000" w:themeColor="text1"/>
        </w:rPr>
        <w:t>{</w:t>
      </w:r>
      <w:proofErr w:type="spellStart"/>
      <w:r w:rsidR="001942A0">
        <w:rPr>
          <w:color w:val="000000" w:themeColor="text1"/>
        </w:rPr>
        <w:t>applicationPaymentBullet</w:t>
      </w:r>
      <w:proofErr w:type="spellEnd"/>
      <w:r w:rsidR="001942A0">
        <w:rPr>
          <w:color w:val="000000" w:themeColor="text1"/>
        </w:rPr>
        <w:t>}</w:t>
      </w:r>
      <w:r w:rsidR="00393AA9" w:rsidRPr="00393AA9">
        <w:rPr>
          <w:color w:val="000000" w:themeColor="text1"/>
          <w:u w:val="single"/>
        </w:rPr>
        <w:t>{</w:t>
      </w:r>
      <w:proofErr w:type="spellStart"/>
      <w:r w:rsidR="00393AA9" w:rsidRPr="00393AA9">
        <w:rPr>
          <w:color w:val="000000" w:themeColor="text1"/>
          <w:u w:val="single"/>
        </w:rPr>
        <w:t>applicationPaymentHeading</w:t>
      </w:r>
      <w:proofErr w:type="spellEnd"/>
      <w:r w:rsidR="00393AA9" w:rsidRPr="00393AA9">
        <w:rPr>
          <w:color w:val="000000" w:themeColor="text1"/>
          <w:u w:val="single"/>
        </w:rPr>
        <w:t>}</w:t>
      </w:r>
      <w:r w:rsidR="00393AA9">
        <w:rPr>
          <w:color w:val="000000" w:themeColor="text1"/>
        </w:rPr>
        <w:t xml:space="preserve"> </w:t>
      </w:r>
      <w:r w:rsidR="00E249F0" w:rsidRPr="005501AE">
        <w:rPr>
          <w:color w:val="000000" w:themeColor="text1"/>
        </w:rPr>
        <w:t>{</w:t>
      </w:r>
      <w:proofErr w:type="spellStart"/>
      <w:r w:rsidR="00E249F0" w:rsidRPr="005501AE">
        <w:rPr>
          <w:color w:val="000000" w:themeColor="text1"/>
        </w:rPr>
        <w:t>selectedPayment</w:t>
      </w:r>
      <w:proofErr w:type="spellEnd"/>
      <w:r w:rsidR="00E249F0" w:rsidRPr="005501AE">
        <w:rPr>
          <w:color w:val="000000" w:themeColor="text1"/>
        </w:rPr>
        <w:t>}</w:t>
      </w:r>
    </w:p>
    <w:p w14:paraId="29CFA2ED" w14:textId="77777777" w:rsidR="00245679" w:rsidRPr="005E6758" w:rsidRDefault="00245679" w:rsidP="005E6758">
      <w:pPr>
        <w:spacing w:after="240"/>
        <w:jc w:val="both"/>
        <w:rPr>
          <w:color w:val="000000" w:themeColor="text1"/>
        </w:rPr>
      </w:pPr>
    </w:p>
    <w:p w14:paraId="1587E3D4" w14:textId="03780DE6" w:rsidR="00E4538B" w:rsidRPr="00E4538B" w:rsidRDefault="0005182A" w:rsidP="00245679">
      <w:pPr>
        <w:pStyle w:val="ListParagraph"/>
        <w:spacing w:after="240"/>
        <w:jc w:val="both"/>
        <w:rPr>
          <w:color w:val="000000" w:themeColor="text1"/>
        </w:rPr>
      </w:pPr>
      <w:r w:rsidRPr="00F12E0E">
        <w:rPr>
          <w:color w:val="000000" w:themeColor="text1"/>
        </w:rPr>
        <w:t>{</w:t>
      </w:r>
      <w:proofErr w:type="spellStart"/>
      <w:r w:rsidRPr="00F12E0E">
        <w:rPr>
          <w:color w:val="000000" w:themeColor="text1"/>
        </w:rPr>
        <w:t>PaymentBullet</w:t>
      </w:r>
      <w:proofErr w:type="spellEnd"/>
      <w:r w:rsidRPr="00F12E0E">
        <w:rPr>
          <w:color w:val="000000" w:themeColor="text1"/>
        </w:rPr>
        <w:t>}</w:t>
      </w:r>
      <w:r w:rsidR="00F12E0E">
        <w:rPr>
          <w:color w:val="000000" w:themeColor="text1"/>
          <w:u w:val="single"/>
        </w:rPr>
        <w:t xml:space="preserve"> </w:t>
      </w:r>
      <w:r w:rsidR="00245679">
        <w:rPr>
          <w:color w:val="000000" w:themeColor="text1"/>
          <w:u w:val="single"/>
        </w:rPr>
        <w:t>{</w:t>
      </w:r>
      <w:proofErr w:type="spellStart"/>
      <w:r w:rsidR="00245679">
        <w:rPr>
          <w:color w:val="000000" w:themeColor="text1"/>
          <w:u w:val="single"/>
        </w:rPr>
        <w:t>PaymentHeading</w:t>
      </w:r>
      <w:proofErr w:type="spellEnd"/>
      <w:r w:rsidR="00245679">
        <w:rPr>
          <w:color w:val="000000" w:themeColor="text1"/>
          <w:u w:val="single"/>
        </w:rPr>
        <w:t>}</w:t>
      </w:r>
    </w:p>
    <w:p w14:paraId="5F38AC81" w14:textId="02BEF4CC"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lastRenderedPageBreak/>
        <w:t>By the final day of each month</w:t>
      </w:r>
      <w:r w:rsidR="00B345DA">
        <w:rPr>
          <w:color w:val="000000" w:themeColor="text1"/>
        </w:rPr>
        <w:t>{Payment}</w:t>
      </w:r>
      <w:r w:rsidR="007B3172">
        <w:rPr>
          <w:color w:val="000000" w:themeColor="text1"/>
        </w:rPr>
        <w:t xml:space="preserve">. </w:t>
      </w:r>
      <w:r w:rsidRPr="00602699">
        <w:rPr>
          <w:color w:val="000000" w:themeColor="text1"/>
        </w:rPr>
        <w:t>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22DD7ABA"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w:t>
      </w:r>
      <w:r w:rsidRPr="00D937B5">
        <w:rPr>
          <w:color w:val="000000" w:themeColor="text1"/>
        </w:rPr>
        <w:lastRenderedPageBreak/>
        <w:t xml:space="preserve">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14AAACF1"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Owner represents, warrants and agrees as follows:</w:t>
      </w:r>
    </w:p>
    <w:p w14:paraId="11C1BC60" w14:textId="609A2009"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690E38" w:rsidRPr="00602699">
        <w:rPr>
          <w:color w:val="000000" w:themeColor="text1"/>
        </w:rPr>
        <w:t xml:space="preserve"> limited</w:t>
      </w:r>
      <w:r w:rsidR="005E09B2" w:rsidRPr="00602699">
        <w:rPr>
          <w:color w:val="000000" w:themeColor="text1"/>
        </w:rPr>
        <w:t xml:space="preserve"> </w:t>
      </w:r>
      <w:r w:rsidR="00623FDB">
        <w:rPr>
          <w:color w:val="000000" w:themeColor="text1"/>
        </w:rPr>
        <w:t>{</w:t>
      </w:r>
      <w:proofErr w:type="spellStart"/>
      <w:r w:rsidR="00623FDB">
        <w:rPr>
          <w:color w:val="000000" w:themeColor="text1"/>
        </w:rPr>
        <w:t>OwnerStateOfFormation</w:t>
      </w:r>
      <w:proofErr w:type="spellEnd"/>
      <w:r w:rsidR="00623FDB">
        <w:rPr>
          <w:color w:val="000000" w:themeColor="text1"/>
        </w:rPr>
        <w:t>}</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This Agreement has been duly authorized, executed and delivered by Owner and constitutes the legal, valid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The failure by Consultant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Any involuntary petition if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time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w:t>
      </w:r>
      <w:r w:rsidR="00B84A8E" w:rsidRPr="00602699">
        <w:rPr>
          <w:color w:val="000000" w:themeColor="text1"/>
        </w:rPr>
        <w:lastRenderedPageBreak/>
        <w:t>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640E6375" w14:textId="7E4AC5DA"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623FDB">
        <w:rPr>
          <w:color w:val="000000" w:themeColor="text1"/>
        </w:rPr>
        <w:t>{Owner}</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San Diego, 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9"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08F3709C" w14:textId="5E579907"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823E9A">
        <w:rPr>
          <w:color w:val="000000" w:themeColor="text1"/>
        </w:rPr>
        <w:t>{</w:t>
      </w:r>
      <w:proofErr w:type="spellStart"/>
      <w:r w:rsidR="00823E9A">
        <w:rPr>
          <w:color w:val="000000" w:themeColor="text1"/>
        </w:rPr>
        <w:t>ContractorName</w:t>
      </w:r>
      <w:proofErr w:type="spellEnd"/>
      <w:r w:rsidR="00823E9A">
        <w:rPr>
          <w:color w:val="000000" w:themeColor="text1"/>
        </w:rPr>
        <w:t>}</w:t>
      </w:r>
    </w:p>
    <w:p w14:paraId="1985DDB4" w14:textId="77777777" w:rsidR="00342404" w:rsidRDefault="00823E9A"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21BF6593" w14:textId="1864B285" w:rsidR="00B84A8E" w:rsidRPr="00602699" w:rsidRDefault="00342404" w:rsidP="00787F25">
      <w:pPr>
        <w:ind w:left="3600" w:firstLine="720"/>
        <w:jc w:val="both"/>
        <w:rPr>
          <w:color w:val="000000" w:themeColor="text1"/>
        </w:rPr>
      </w:pPr>
      <w:r>
        <w:rPr>
          <w:color w:val="000000" w:themeColor="text1"/>
        </w:rPr>
        <w:t xml:space="preserve">{City}, </w:t>
      </w:r>
      <w:r w:rsidR="008E0064">
        <w:rPr>
          <w:color w:val="000000" w:themeColor="text1"/>
        </w:rPr>
        <w:t>{State}</w:t>
      </w:r>
      <w:r>
        <w:rPr>
          <w:color w:val="000000" w:themeColor="text1"/>
        </w:rPr>
        <w:t xml:space="preserve"> </w:t>
      </w:r>
      <w:r w:rsidR="00823E9A">
        <w:rPr>
          <w:color w:val="000000" w:themeColor="text1"/>
        </w:rPr>
        <w:t>{</w:t>
      </w:r>
      <w:proofErr w:type="spellStart"/>
      <w:r w:rsidR="00823E9A">
        <w:rPr>
          <w:color w:val="000000" w:themeColor="text1"/>
        </w:rPr>
        <w:t>ZipCode</w:t>
      </w:r>
      <w:proofErr w:type="spellEnd"/>
      <w:r w:rsidR="00823E9A">
        <w:rPr>
          <w:color w:val="000000" w:themeColor="text1"/>
        </w:rPr>
        <w:t>}</w:t>
      </w:r>
    </w:p>
    <w:p w14:paraId="46A886B4" w14:textId="16F80FB9" w:rsidR="00B84A8E" w:rsidRPr="00602699" w:rsidRDefault="00823E9A"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No waiver of any term, covenant or condition of this Agreement shall be binding unless executed in writing by the party entitled to the benefit 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4B6B5974" w:rsidR="00BC4A11" w:rsidRPr="00602699" w:rsidRDefault="00BC4A11" w:rsidP="00F13737">
      <w:pPr>
        <w:numPr>
          <w:ilvl w:val="1"/>
          <w:numId w:val="33"/>
        </w:numPr>
        <w:spacing w:after="240"/>
        <w:jc w:val="both"/>
        <w:rPr>
          <w:color w:val="000000" w:themeColor="text1"/>
          <w:u w:val="single"/>
        </w:rPr>
      </w:pPr>
      <w:r>
        <w:rPr>
          <w:caps/>
          <w:color w:val="000000"/>
          <w14:reflection w14:blurRad="0" w14:stA="99000" w14:stPos="0" w14:endA="0" w14:endPos="0" w14:dist="0" w14:dir="0" w14:fadeDir="0" w14:sx="0" w14:sy="0" w14:kx="0" w14:ky="0" w14:algn="bl"/>
        </w:rPr>
        <w:t xml:space="preserve">[NOTE: USE IF CONSULTANT WILL BE ON-SITE IN ANY CAPACITY] </w:t>
      </w:r>
      <w:r w:rsidR="003C136A">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 xml:space="preserve">in any </w:t>
      </w:r>
      <w:r w:rsidR="00356804" w:rsidRPr="00602699">
        <w:rPr>
          <w:color w:val="000000" w:themeColor="text1"/>
        </w:rPr>
        <w:lastRenderedPageBreak/>
        <w:t>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No provision of this Agreement may be modified, amended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as a whole according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20"/>
          <w:footerReference w:type="default" r:id="rId21"/>
          <w:footerReference w:type="first" r:id="rId22"/>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3D2C1AA3" w14:textId="12A14123" w:rsidR="00BD4FAA" w:rsidRPr="00602699" w:rsidRDefault="00623FDB" w:rsidP="00BD4FAA">
      <w:pPr>
        <w:jc w:val="both"/>
        <w:rPr>
          <w:color w:val="000000" w:themeColor="text1"/>
        </w:rPr>
      </w:pPr>
      <w:r>
        <w:rPr>
          <w:color w:val="000000" w:themeColor="text1"/>
        </w:rPr>
        <w:t xml:space="preserve">   {Owner}</w:t>
      </w:r>
      <w:r w:rsidR="00BD4FAA" w:rsidRPr="00602699">
        <w:rPr>
          <w:color w:val="000000" w:themeColor="text1"/>
        </w:rPr>
        <w:t>,</w:t>
      </w:r>
    </w:p>
    <w:p w14:paraId="6006B54E" w14:textId="3AE41475" w:rsidR="00BD4FAA" w:rsidRPr="00602699" w:rsidRDefault="00BD4FAA" w:rsidP="00BD4FAA">
      <w:pPr>
        <w:spacing w:after="720"/>
        <w:jc w:val="both"/>
        <w:rPr>
          <w:b/>
          <w:color w:val="000000" w:themeColor="text1"/>
        </w:rPr>
      </w:pPr>
      <w:r w:rsidRPr="00602699">
        <w:rPr>
          <w:color w:val="000000" w:themeColor="text1"/>
        </w:rPr>
        <w:t xml:space="preserve">a </w:t>
      </w:r>
      <w:r w:rsidR="00623FDB">
        <w:rPr>
          <w:color w:val="000000" w:themeColor="text1"/>
        </w:rPr>
        <w:t>{</w:t>
      </w:r>
      <w:proofErr w:type="spellStart"/>
      <w:r w:rsidR="00623FDB">
        <w:rPr>
          <w:color w:val="000000" w:themeColor="text1"/>
        </w:rPr>
        <w:t>OwnerStateOfFormation</w:t>
      </w:r>
      <w:proofErr w:type="spellEnd"/>
      <w:r w:rsidR="00623FDB">
        <w:rPr>
          <w:color w:val="000000" w:themeColor="text1"/>
        </w:rPr>
        <w:t>}</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77D53A17" w:rsidR="005E09B2" w:rsidRPr="00602699" w:rsidRDefault="00D76389" w:rsidP="00BD4FAA">
      <w:pPr>
        <w:jc w:val="both"/>
        <w:rPr>
          <w:color w:val="000000" w:themeColor="text1"/>
        </w:rPr>
      </w:pPr>
      <w:r>
        <w:rPr>
          <w:color w:val="000000" w:themeColor="text1"/>
        </w:rPr>
        <w:t xml:space="preserve">   </w:t>
      </w:r>
      <w:r w:rsidR="0033366E">
        <w:rPr>
          <w:color w:val="000000" w:themeColor="text1"/>
        </w:rPr>
        <w:t>{</w:t>
      </w:r>
      <w:proofErr w:type="spellStart"/>
      <w:r w:rsidR="0033366E">
        <w:rPr>
          <w:color w:val="000000" w:themeColor="text1"/>
        </w:rPr>
        <w:t>ContractorName</w:t>
      </w:r>
      <w:proofErr w:type="spellEnd"/>
      <w:r w:rsidR="0033366E">
        <w:rPr>
          <w:color w:val="000000" w:themeColor="text1"/>
        </w:rPr>
        <w:t>}</w:t>
      </w:r>
      <w:r w:rsidR="005E09B2" w:rsidRPr="00602699">
        <w:rPr>
          <w:color w:val="000000" w:themeColor="text1"/>
        </w:rPr>
        <w:t>,</w:t>
      </w:r>
      <w:r w:rsidR="00BE1E8C">
        <w:rPr>
          <w:color w:val="000000" w:themeColor="text1"/>
        </w:rPr>
        <w:tab/>
      </w:r>
    </w:p>
    <w:p w14:paraId="36A1B873" w14:textId="7C34B05C" w:rsidR="005E09B2" w:rsidRPr="00602699" w:rsidRDefault="005E09B2" w:rsidP="00BD4FAA">
      <w:pPr>
        <w:spacing w:after="720"/>
        <w:jc w:val="both"/>
        <w:rPr>
          <w:color w:val="000000" w:themeColor="text1"/>
        </w:rPr>
      </w:pPr>
      <w:r w:rsidRPr="00602699">
        <w:rPr>
          <w:color w:val="000000" w:themeColor="text1"/>
        </w:rPr>
        <w:t xml:space="preserve">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3"/>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4"/>
          <w:footerReference w:type="first" r:id="rId25"/>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77777777" w:rsidR="005E09B2" w:rsidRPr="00602699" w:rsidRDefault="008A7F07" w:rsidP="00710D4D">
      <w:pPr>
        <w:spacing w:after="240"/>
        <w:jc w:val="both"/>
        <w:rPr>
          <w:color w:val="000000" w:themeColor="text1"/>
        </w:rPr>
      </w:pPr>
      <w:r w:rsidRPr="00602699">
        <w:rPr>
          <w:color w:val="000000" w:themeColor="text1"/>
        </w:rPr>
        <w:t xml:space="preserve">Consultant,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5EF4AD9A"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Pr="00602699">
        <w:rPr>
          <w:color w:val="000000" w:themeColor="text1"/>
        </w:rPr>
        <w:tab/>
      </w:r>
      <w:r w:rsidR="00623FDB">
        <w:rPr>
          <w:color w:val="000000" w:themeColor="text1"/>
        </w:rPr>
        <w:t>{Owner}</w:t>
      </w:r>
    </w:p>
    <w:p w14:paraId="290C2845" w14:textId="445C34E0"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00EA532D">
        <w:rPr>
          <w:color w:val="000000" w:themeColor="text1"/>
        </w:rPr>
        <w:t>{</w:t>
      </w:r>
      <w:proofErr w:type="spellStart"/>
      <w:r w:rsidR="00EA532D">
        <w:rPr>
          <w:color w:val="000000" w:themeColor="text1"/>
        </w:rPr>
        <w:t>AdditionalInsureds</w:t>
      </w:r>
      <w:proofErr w:type="spellEnd"/>
      <w:r w:rsidR="00EA532D">
        <w:rPr>
          <w:color w:val="000000" w:themeColor="text1"/>
        </w:rPr>
        <w:t>}</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affiliates, subsidiaries, directors, officers, representatives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2672540F" w:rsidR="005E09B2" w:rsidRPr="00602699" w:rsidRDefault="008A7F07" w:rsidP="008A7F07">
      <w:pPr>
        <w:spacing w:after="240"/>
        <w:jc w:val="both"/>
        <w:rPr>
          <w:color w:val="000000" w:themeColor="text1"/>
        </w:rPr>
      </w:pPr>
      <w:r w:rsidRPr="00602699">
        <w:rPr>
          <w:color w:val="000000" w:themeColor="text1"/>
        </w:rPr>
        <w:t>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Consultant must include coverage for personal in</w:t>
      </w:r>
      <w:r w:rsidR="00D15B1D" w:rsidRPr="00602699">
        <w:rPr>
          <w:color w:val="000000" w:themeColor="text1"/>
        </w:rPr>
        <w:t>jury and 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1C3771C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form in an amount not less than $2,000,000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77777777" w:rsidR="008A7F07" w:rsidRPr="00602699" w:rsidRDefault="008A7F07" w:rsidP="008A7F07">
      <w:pPr>
        <w:tabs>
          <w:tab w:val="left" w:pos="3695"/>
        </w:tabs>
        <w:spacing w:after="240"/>
        <w:jc w:val="both"/>
        <w:rPr>
          <w:color w:val="000000" w:themeColor="text1"/>
        </w:rPr>
      </w:pPr>
      <w:r w:rsidRPr="00602699">
        <w:rPr>
          <w:color w:val="000000" w:themeColor="text1"/>
        </w:rPr>
        <w:t xml:space="preserve">Minimum limit of $2,000,000 per claim and in the aggregate covering wrongful acts by or on behalf of the Consultant.  All of Consultant’s subconsultants of any tier shall be required to maintain in full force and effect limits of professional liability insurance equal of those of Consultant. </w:t>
      </w:r>
      <w:r w:rsidRPr="00602699">
        <w:rPr>
          <w:rFonts w:eastAsia="Batang"/>
          <w:color w:val="000000" w:themeColor="text1"/>
          <w:sz w:val="22"/>
        </w:rPr>
        <w:t xml:space="preserve"> </w:t>
      </w:r>
      <w:r w:rsidRPr="00602699">
        <w:rPr>
          <w:color w:val="000000" w:themeColor="text1"/>
        </w:rPr>
        <w:t xml:space="preserve">Claims-made coverage is permitted, provided the policy retroactive date is continuously maintained prior to the commencement date of this Agreement and coverage is </w:t>
      </w:r>
      <w:r w:rsidRPr="00602699">
        <w:rPr>
          <w:color w:val="000000" w:themeColor="text1"/>
        </w:rPr>
        <w:lastRenderedPageBreak/>
        <w:t>continuously maintained during all periods Consultant performs Services for Owner plus an additional period of three (3) years after termination of this Agreement or the last date Services are performed, whichever is later.</w:t>
      </w:r>
    </w:p>
    <w:p w14:paraId="481A8842" w14:textId="7179034D" w:rsidR="00D15B1D" w:rsidRDefault="00D15B1D" w:rsidP="008A7F07">
      <w:pPr>
        <w:tabs>
          <w:tab w:val="left" w:pos="3695"/>
        </w:tabs>
        <w:spacing w:after="240"/>
        <w:jc w:val="both"/>
        <w:rPr>
          <w:color w:val="000000" w:themeColor="text1"/>
        </w:rPr>
      </w:pPr>
      <w:r w:rsidRPr="00602699">
        <w:rPr>
          <w:color w:val="000000" w:themeColor="text1"/>
          <w:u w:val="single"/>
        </w:rPr>
        <w:t>[</w:t>
      </w:r>
      <w:r w:rsidRPr="00602699">
        <w:rPr>
          <w:color w:val="000000" w:themeColor="text1"/>
        </w:rPr>
        <w:t xml:space="preserve">NOTE: ONLY INCLUDE </w:t>
      </w:r>
      <w:r w:rsidR="006A4D7B" w:rsidRPr="00602699">
        <w:rPr>
          <w:color w:val="000000" w:themeColor="text1"/>
        </w:rPr>
        <w:t xml:space="preserve">POLLUTION LIABILITY </w:t>
      </w:r>
      <w:r w:rsidRPr="00602699">
        <w:rPr>
          <w:color w:val="000000" w:themeColor="text1"/>
        </w:rPr>
        <w:t>FOR INDUSTRIAL HYGIENE SERVICES</w:t>
      </w:r>
    </w:p>
    <w:p w14:paraId="4A80993B" w14:textId="520D67B5" w:rsidR="00EC7864" w:rsidRPr="00EC7864" w:rsidRDefault="00EC7864" w:rsidP="008A7F07">
      <w:pPr>
        <w:tabs>
          <w:tab w:val="left" w:pos="3695"/>
        </w:tabs>
        <w:spacing w:after="240"/>
        <w:jc w:val="both"/>
        <w:rPr>
          <w:color w:val="000000" w:themeColor="text1"/>
          <w:u w:val="single"/>
        </w:rPr>
      </w:pPr>
      <w:r w:rsidRPr="00EC7864">
        <w:rPr>
          <w:color w:val="000000" w:themeColor="text1"/>
          <w:u w:val="single"/>
        </w:rPr>
        <w:t>{</w:t>
      </w:r>
      <w:proofErr w:type="spellStart"/>
      <w:r w:rsidRPr="00EC7864">
        <w:rPr>
          <w:color w:val="000000" w:themeColor="text1"/>
          <w:u w:val="single"/>
        </w:rPr>
        <w:t>PollutionHeading</w:t>
      </w:r>
      <w:proofErr w:type="spellEnd"/>
      <w:r w:rsidRPr="00EC7864">
        <w:rPr>
          <w:color w:val="000000" w:themeColor="text1"/>
          <w:u w:val="single"/>
        </w:rPr>
        <w:t>}</w:t>
      </w:r>
    </w:p>
    <w:p w14:paraId="3CEA2BA9" w14:textId="2862E71B" w:rsidR="008A7F07" w:rsidRPr="000F5445" w:rsidRDefault="00933629" w:rsidP="008A7F07">
      <w:pPr>
        <w:tabs>
          <w:tab w:val="left" w:pos="3695"/>
        </w:tabs>
        <w:spacing w:after="240"/>
        <w:jc w:val="both"/>
        <w:rPr>
          <w:color w:val="000000" w:themeColor="text1"/>
        </w:rPr>
      </w:pPr>
      <w:r w:rsidRPr="000F5445">
        <w:rPr>
          <w:color w:val="000000" w:themeColor="text1"/>
        </w:rPr>
        <w:t>{Pollution}</w:t>
      </w:r>
    </w:p>
    <w:p w14:paraId="6CFACE71"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Excess Liability</w:t>
      </w:r>
      <w:r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Workers’ Compensation and Employer’s  Liability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Consultant agrees to hold harmless and indemnify Owner for any loss or expense incurred as a result of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modification or reduction of insurance becomes effective (except in the event of non-payment of premium, in which case ten (10) days </w:t>
      </w:r>
      <w:r w:rsidRPr="00602699">
        <w:rPr>
          <w:color w:val="000000" w:themeColor="text1"/>
        </w:rPr>
        <w:lastRenderedPageBreak/>
        <w:t xml:space="preserve">prior written notice shall be given).  Should carrier be unwilling or unable to provide such notice, Consultant shall provide notice to Owner in accordance with this section.    </w:t>
      </w:r>
    </w:p>
    <w:p w14:paraId="7791CB3C" w14:textId="77777777" w:rsidR="00D5128B" w:rsidRPr="00602699" w:rsidRDefault="008A7F07" w:rsidP="008A7F07">
      <w:pPr>
        <w:spacing w:after="240"/>
        <w:jc w:val="both"/>
        <w:rPr>
          <w:color w:val="000000" w:themeColor="text1"/>
        </w:rPr>
      </w:pPr>
      <w:r w:rsidRPr="00602699">
        <w:rPr>
          <w:color w:val="000000" w:themeColor="text1"/>
        </w:rPr>
        <w:t>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liabilities, but are merely minimums.  Any coverage maintained by Consultant shall be primary and any insurance carried by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6"/>
          <w:footerReference w:type="first" r:id="rId27"/>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79771" w14:textId="77777777" w:rsidR="009070B6" w:rsidRDefault="009070B6">
      <w:r>
        <w:separator/>
      </w:r>
    </w:p>
  </w:endnote>
  <w:endnote w:type="continuationSeparator" w:id="0">
    <w:p w14:paraId="4B15D33A" w14:textId="77777777" w:rsidR="009070B6" w:rsidRDefault="009070B6">
      <w:r>
        <w:continuationSeparator/>
      </w:r>
    </w:p>
  </w:endnote>
  <w:endnote w:type="continuationNotice" w:id="1">
    <w:p w14:paraId="201B43D5" w14:textId="77777777" w:rsidR="009070B6" w:rsidRDefault="00907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03417A1"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001">
      <w:rPr>
        <w:rStyle w:val="PageNumber"/>
        <w:noProof/>
      </w:rPr>
      <w:t>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96B0" w14:textId="77777777" w:rsidR="009070B6" w:rsidRDefault="009070B6">
      <w:r>
        <w:separator/>
      </w:r>
    </w:p>
  </w:footnote>
  <w:footnote w:type="continuationSeparator" w:id="0">
    <w:p w14:paraId="711E8494" w14:textId="77777777" w:rsidR="009070B6" w:rsidRDefault="009070B6">
      <w:r>
        <w:continuationSeparator/>
      </w:r>
    </w:p>
  </w:footnote>
  <w:footnote w:type="continuationNotice" w:id="1">
    <w:p w14:paraId="0483F3AC" w14:textId="77777777" w:rsidR="009070B6" w:rsidRDefault="009070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2"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7"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0"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E3A5B8D"/>
    <w:multiLevelType w:val="multilevel"/>
    <w:tmpl w:val="D94838E4"/>
    <w:numStyleLink w:val="Style2"/>
  </w:abstractNum>
  <w:abstractNum w:abstractNumId="23" w15:restartNumberingAfterBreak="0">
    <w:nsid w:val="51E92022"/>
    <w:multiLevelType w:val="multilevel"/>
    <w:tmpl w:val="29C0EE36"/>
    <w:numStyleLink w:val="Style1"/>
  </w:abstractNum>
  <w:abstractNum w:abstractNumId="24"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6"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8B7F36"/>
    <w:multiLevelType w:val="multilevel"/>
    <w:tmpl w:val="29C0EE36"/>
    <w:numStyleLink w:val="Style1"/>
  </w:abstractNum>
  <w:abstractNum w:abstractNumId="29" w15:restartNumberingAfterBreak="0">
    <w:nsid w:val="6ABE50A9"/>
    <w:multiLevelType w:val="multilevel"/>
    <w:tmpl w:val="D94838E4"/>
    <w:numStyleLink w:val="Style2"/>
  </w:abstractNum>
  <w:abstractNum w:abstractNumId="30"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992414256">
    <w:abstractNumId w:val="20"/>
  </w:num>
  <w:num w:numId="2" w16cid:durableId="390470386">
    <w:abstractNumId w:val="25"/>
  </w:num>
  <w:num w:numId="3" w16cid:durableId="1518033393">
    <w:abstractNumId w:val="21"/>
  </w:num>
  <w:num w:numId="4" w16cid:durableId="372005667">
    <w:abstractNumId w:val="19"/>
  </w:num>
  <w:num w:numId="5" w16cid:durableId="2144034565">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567046">
    <w:abstractNumId w:val="26"/>
  </w:num>
  <w:num w:numId="7" w16cid:durableId="383988874">
    <w:abstractNumId w:val="15"/>
  </w:num>
  <w:num w:numId="8" w16cid:durableId="1248920413">
    <w:abstractNumId w:val="16"/>
  </w:num>
  <w:num w:numId="9" w16cid:durableId="1363827128">
    <w:abstractNumId w:val="31"/>
  </w:num>
  <w:num w:numId="10" w16cid:durableId="1506094925">
    <w:abstractNumId w:val="3"/>
  </w:num>
  <w:num w:numId="11" w16cid:durableId="2094547891">
    <w:abstractNumId w:val="11"/>
  </w:num>
  <w:num w:numId="12" w16cid:durableId="1136528633">
    <w:abstractNumId w:val="27"/>
  </w:num>
  <w:num w:numId="13" w16cid:durableId="1573076517">
    <w:abstractNumId w:val="4"/>
  </w:num>
  <w:num w:numId="14" w16cid:durableId="143162659">
    <w:abstractNumId w:val="5"/>
  </w:num>
  <w:num w:numId="15" w16cid:durableId="1615594462">
    <w:abstractNumId w:val="8"/>
  </w:num>
  <w:num w:numId="16" w16cid:durableId="1323001453">
    <w:abstractNumId w:val="28"/>
  </w:num>
  <w:num w:numId="17" w16cid:durableId="963077444">
    <w:abstractNumId w:val="10"/>
  </w:num>
  <w:num w:numId="18" w16cid:durableId="15889165">
    <w:abstractNumId w:val="23"/>
  </w:num>
  <w:num w:numId="19" w16cid:durableId="699476318">
    <w:abstractNumId w:val="12"/>
  </w:num>
  <w:num w:numId="20" w16cid:durableId="1611234092">
    <w:abstractNumId w:val="14"/>
  </w:num>
  <w:num w:numId="21" w16cid:durableId="599023346">
    <w:abstractNumId w:val="29"/>
  </w:num>
  <w:num w:numId="22" w16cid:durableId="833378841">
    <w:abstractNumId w:val="22"/>
  </w:num>
  <w:num w:numId="23" w16cid:durableId="1175463908">
    <w:abstractNumId w:val="1"/>
  </w:num>
  <w:num w:numId="24" w16cid:durableId="1907297628">
    <w:abstractNumId w:val="7"/>
  </w:num>
  <w:num w:numId="25" w16cid:durableId="964893074">
    <w:abstractNumId w:val="9"/>
  </w:num>
  <w:num w:numId="26" w16cid:durableId="1165122007">
    <w:abstractNumId w:val="18"/>
  </w:num>
  <w:num w:numId="27" w16cid:durableId="1787890837">
    <w:abstractNumId w:val="6"/>
  </w:num>
  <w:num w:numId="28" w16cid:durableId="1259102464">
    <w:abstractNumId w:val="0"/>
  </w:num>
  <w:num w:numId="29" w16cid:durableId="1811088834">
    <w:abstractNumId w:val="13"/>
  </w:num>
  <w:num w:numId="30" w16cid:durableId="987785542">
    <w:abstractNumId w:val="30"/>
  </w:num>
  <w:num w:numId="31" w16cid:durableId="1491408367">
    <w:abstractNumId w:val="2"/>
  </w:num>
  <w:num w:numId="32" w16cid:durableId="418135701">
    <w:abstractNumId w:val="17"/>
  </w:num>
  <w:num w:numId="33" w16cid:durableId="15503396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43194"/>
    <w:rsid w:val="0005182A"/>
    <w:rsid w:val="00054CB3"/>
    <w:rsid w:val="00057DCF"/>
    <w:rsid w:val="00062A13"/>
    <w:rsid w:val="00066BCB"/>
    <w:rsid w:val="00073050"/>
    <w:rsid w:val="0007587C"/>
    <w:rsid w:val="00094A1C"/>
    <w:rsid w:val="00094C6F"/>
    <w:rsid w:val="0009561E"/>
    <w:rsid w:val="00096509"/>
    <w:rsid w:val="000A39CE"/>
    <w:rsid w:val="000A4B46"/>
    <w:rsid w:val="000B2D28"/>
    <w:rsid w:val="000B5A5B"/>
    <w:rsid w:val="000C1F73"/>
    <w:rsid w:val="000D59B3"/>
    <w:rsid w:val="000E212F"/>
    <w:rsid w:val="000E3E87"/>
    <w:rsid w:val="000E71EE"/>
    <w:rsid w:val="000E7560"/>
    <w:rsid w:val="000F5445"/>
    <w:rsid w:val="000F6DC3"/>
    <w:rsid w:val="000F76B7"/>
    <w:rsid w:val="00102931"/>
    <w:rsid w:val="00110C58"/>
    <w:rsid w:val="001159B1"/>
    <w:rsid w:val="00124BBD"/>
    <w:rsid w:val="001260BE"/>
    <w:rsid w:val="001330EE"/>
    <w:rsid w:val="001520AB"/>
    <w:rsid w:val="001742EF"/>
    <w:rsid w:val="00174B62"/>
    <w:rsid w:val="0017529C"/>
    <w:rsid w:val="00175CE5"/>
    <w:rsid w:val="00176E39"/>
    <w:rsid w:val="00180C1D"/>
    <w:rsid w:val="00183DBE"/>
    <w:rsid w:val="001843E1"/>
    <w:rsid w:val="001942A0"/>
    <w:rsid w:val="00196D38"/>
    <w:rsid w:val="001A310B"/>
    <w:rsid w:val="001A73CF"/>
    <w:rsid w:val="001B2A70"/>
    <w:rsid w:val="001B5594"/>
    <w:rsid w:val="001B5DE6"/>
    <w:rsid w:val="001B7607"/>
    <w:rsid w:val="001B7BA1"/>
    <w:rsid w:val="001C1529"/>
    <w:rsid w:val="001F23C3"/>
    <w:rsid w:val="00201926"/>
    <w:rsid w:val="00222FF4"/>
    <w:rsid w:val="00224F27"/>
    <w:rsid w:val="002253F3"/>
    <w:rsid w:val="00232E10"/>
    <w:rsid w:val="00234BE1"/>
    <w:rsid w:val="002355B8"/>
    <w:rsid w:val="002355F9"/>
    <w:rsid w:val="00241580"/>
    <w:rsid w:val="002415EF"/>
    <w:rsid w:val="00245679"/>
    <w:rsid w:val="00250C55"/>
    <w:rsid w:val="002548EA"/>
    <w:rsid w:val="00262062"/>
    <w:rsid w:val="002653A6"/>
    <w:rsid w:val="00266E07"/>
    <w:rsid w:val="00270556"/>
    <w:rsid w:val="00273BF2"/>
    <w:rsid w:val="00273DE6"/>
    <w:rsid w:val="00280A67"/>
    <w:rsid w:val="0029010C"/>
    <w:rsid w:val="002A2C26"/>
    <w:rsid w:val="002A6A4B"/>
    <w:rsid w:val="002C13E9"/>
    <w:rsid w:val="002C47A9"/>
    <w:rsid w:val="002D3334"/>
    <w:rsid w:val="002D39F6"/>
    <w:rsid w:val="002D4B92"/>
    <w:rsid w:val="002D6696"/>
    <w:rsid w:val="002E22A9"/>
    <w:rsid w:val="002E3602"/>
    <w:rsid w:val="002F2B99"/>
    <w:rsid w:val="002F4A4A"/>
    <w:rsid w:val="00300306"/>
    <w:rsid w:val="00303001"/>
    <w:rsid w:val="003040FB"/>
    <w:rsid w:val="00317723"/>
    <w:rsid w:val="0032007E"/>
    <w:rsid w:val="0032162C"/>
    <w:rsid w:val="00321B97"/>
    <w:rsid w:val="0032253A"/>
    <w:rsid w:val="00326943"/>
    <w:rsid w:val="0033366E"/>
    <w:rsid w:val="00341BD7"/>
    <w:rsid w:val="00342404"/>
    <w:rsid w:val="003479F0"/>
    <w:rsid w:val="00351D05"/>
    <w:rsid w:val="00356804"/>
    <w:rsid w:val="003653E0"/>
    <w:rsid w:val="003850BE"/>
    <w:rsid w:val="0038524F"/>
    <w:rsid w:val="00391D06"/>
    <w:rsid w:val="00393AA9"/>
    <w:rsid w:val="0039439F"/>
    <w:rsid w:val="00394646"/>
    <w:rsid w:val="003A38EA"/>
    <w:rsid w:val="003A57DD"/>
    <w:rsid w:val="003B6177"/>
    <w:rsid w:val="003B6D44"/>
    <w:rsid w:val="003C0CAD"/>
    <w:rsid w:val="003C136A"/>
    <w:rsid w:val="003C4D7D"/>
    <w:rsid w:val="003C7250"/>
    <w:rsid w:val="003C7FD0"/>
    <w:rsid w:val="003D3742"/>
    <w:rsid w:val="003E1CAE"/>
    <w:rsid w:val="003F1C6A"/>
    <w:rsid w:val="003F3D2F"/>
    <w:rsid w:val="00403A9E"/>
    <w:rsid w:val="0040535D"/>
    <w:rsid w:val="0040557F"/>
    <w:rsid w:val="00436C88"/>
    <w:rsid w:val="00445AD2"/>
    <w:rsid w:val="004503A3"/>
    <w:rsid w:val="0045228C"/>
    <w:rsid w:val="00460AD6"/>
    <w:rsid w:val="00467003"/>
    <w:rsid w:val="00472E5B"/>
    <w:rsid w:val="00473047"/>
    <w:rsid w:val="0047415B"/>
    <w:rsid w:val="00477EF3"/>
    <w:rsid w:val="004845CC"/>
    <w:rsid w:val="00486B1C"/>
    <w:rsid w:val="0049155F"/>
    <w:rsid w:val="00495032"/>
    <w:rsid w:val="004A0025"/>
    <w:rsid w:val="004A00F8"/>
    <w:rsid w:val="004A2789"/>
    <w:rsid w:val="004A36C2"/>
    <w:rsid w:val="004A3908"/>
    <w:rsid w:val="004A3AE3"/>
    <w:rsid w:val="004A4943"/>
    <w:rsid w:val="004A6AD5"/>
    <w:rsid w:val="004B5D15"/>
    <w:rsid w:val="004C34BC"/>
    <w:rsid w:val="004D2F00"/>
    <w:rsid w:val="004D554C"/>
    <w:rsid w:val="004F13A6"/>
    <w:rsid w:val="004F3F9A"/>
    <w:rsid w:val="004F430A"/>
    <w:rsid w:val="004F43EA"/>
    <w:rsid w:val="004F46EE"/>
    <w:rsid w:val="004F4818"/>
    <w:rsid w:val="004F4B59"/>
    <w:rsid w:val="005054D0"/>
    <w:rsid w:val="005111A7"/>
    <w:rsid w:val="00511BE3"/>
    <w:rsid w:val="00513D7E"/>
    <w:rsid w:val="005153FD"/>
    <w:rsid w:val="005207DA"/>
    <w:rsid w:val="00525EBE"/>
    <w:rsid w:val="00526002"/>
    <w:rsid w:val="00527666"/>
    <w:rsid w:val="005301A9"/>
    <w:rsid w:val="00530CCF"/>
    <w:rsid w:val="00534500"/>
    <w:rsid w:val="005352A6"/>
    <w:rsid w:val="00544429"/>
    <w:rsid w:val="00547828"/>
    <w:rsid w:val="005501AE"/>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54DC"/>
    <w:rsid w:val="00596067"/>
    <w:rsid w:val="005A1D44"/>
    <w:rsid w:val="005A212B"/>
    <w:rsid w:val="005B10CA"/>
    <w:rsid w:val="005B5291"/>
    <w:rsid w:val="005B5750"/>
    <w:rsid w:val="005C425F"/>
    <w:rsid w:val="005C49A9"/>
    <w:rsid w:val="005C7787"/>
    <w:rsid w:val="005D058E"/>
    <w:rsid w:val="005D39EC"/>
    <w:rsid w:val="005E09B2"/>
    <w:rsid w:val="005E1FCC"/>
    <w:rsid w:val="005E50FA"/>
    <w:rsid w:val="005E6758"/>
    <w:rsid w:val="005F0737"/>
    <w:rsid w:val="005F0BD6"/>
    <w:rsid w:val="005F5292"/>
    <w:rsid w:val="0060109F"/>
    <w:rsid w:val="0060138E"/>
    <w:rsid w:val="00601F81"/>
    <w:rsid w:val="00602699"/>
    <w:rsid w:val="00602D9C"/>
    <w:rsid w:val="00610E45"/>
    <w:rsid w:val="006156BD"/>
    <w:rsid w:val="006167B6"/>
    <w:rsid w:val="00617C6E"/>
    <w:rsid w:val="00621D63"/>
    <w:rsid w:val="00623FDB"/>
    <w:rsid w:val="006302B5"/>
    <w:rsid w:val="0063497E"/>
    <w:rsid w:val="00635C4B"/>
    <w:rsid w:val="00655342"/>
    <w:rsid w:val="006556D9"/>
    <w:rsid w:val="006572A2"/>
    <w:rsid w:val="00660FFE"/>
    <w:rsid w:val="006671CA"/>
    <w:rsid w:val="00667286"/>
    <w:rsid w:val="00674806"/>
    <w:rsid w:val="0067491C"/>
    <w:rsid w:val="0067721B"/>
    <w:rsid w:val="0068208C"/>
    <w:rsid w:val="00682188"/>
    <w:rsid w:val="006837EC"/>
    <w:rsid w:val="00690E38"/>
    <w:rsid w:val="00691B17"/>
    <w:rsid w:val="006934AE"/>
    <w:rsid w:val="00693E91"/>
    <w:rsid w:val="006976AE"/>
    <w:rsid w:val="006A1CA7"/>
    <w:rsid w:val="006A4D7B"/>
    <w:rsid w:val="006A6BEC"/>
    <w:rsid w:val="006B50CB"/>
    <w:rsid w:val="006B749F"/>
    <w:rsid w:val="006C1F7E"/>
    <w:rsid w:val="006C6EB2"/>
    <w:rsid w:val="006D3763"/>
    <w:rsid w:val="006E6AAE"/>
    <w:rsid w:val="006F2DAF"/>
    <w:rsid w:val="006F3A59"/>
    <w:rsid w:val="006F46A7"/>
    <w:rsid w:val="006F5376"/>
    <w:rsid w:val="006F61C9"/>
    <w:rsid w:val="007037C5"/>
    <w:rsid w:val="0070491C"/>
    <w:rsid w:val="00707995"/>
    <w:rsid w:val="00710D4D"/>
    <w:rsid w:val="0071113F"/>
    <w:rsid w:val="00713246"/>
    <w:rsid w:val="0071541B"/>
    <w:rsid w:val="00716EC8"/>
    <w:rsid w:val="00717CC9"/>
    <w:rsid w:val="0072027A"/>
    <w:rsid w:val="00720B81"/>
    <w:rsid w:val="00730CBC"/>
    <w:rsid w:val="00734BC0"/>
    <w:rsid w:val="007355F3"/>
    <w:rsid w:val="00740A5C"/>
    <w:rsid w:val="00745DFE"/>
    <w:rsid w:val="00751266"/>
    <w:rsid w:val="00753B91"/>
    <w:rsid w:val="00755B96"/>
    <w:rsid w:val="00756FFE"/>
    <w:rsid w:val="00774F2D"/>
    <w:rsid w:val="00783785"/>
    <w:rsid w:val="00785A0D"/>
    <w:rsid w:val="00787F25"/>
    <w:rsid w:val="0079402D"/>
    <w:rsid w:val="00795D3E"/>
    <w:rsid w:val="007A0076"/>
    <w:rsid w:val="007A1410"/>
    <w:rsid w:val="007A5116"/>
    <w:rsid w:val="007B3172"/>
    <w:rsid w:val="007B3E23"/>
    <w:rsid w:val="007C55D5"/>
    <w:rsid w:val="007D40DA"/>
    <w:rsid w:val="007D4AF6"/>
    <w:rsid w:val="007E5C9B"/>
    <w:rsid w:val="007E69FB"/>
    <w:rsid w:val="007F4E18"/>
    <w:rsid w:val="007F6F0E"/>
    <w:rsid w:val="0080171D"/>
    <w:rsid w:val="0080215B"/>
    <w:rsid w:val="0080291E"/>
    <w:rsid w:val="008102C1"/>
    <w:rsid w:val="00811B01"/>
    <w:rsid w:val="008142DC"/>
    <w:rsid w:val="00817D1A"/>
    <w:rsid w:val="008209B6"/>
    <w:rsid w:val="00823E9A"/>
    <w:rsid w:val="0083016A"/>
    <w:rsid w:val="0083527E"/>
    <w:rsid w:val="00840471"/>
    <w:rsid w:val="0084407B"/>
    <w:rsid w:val="00850547"/>
    <w:rsid w:val="00861425"/>
    <w:rsid w:val="0086570D"/>
    <w:rsid w:val="0087265C"/>
    <w:rsid w:val="00882643"/>
    <w:rsid w:val="00884C3F"/>
    <w:rsid w:val="0088548F"/>
    <w:rsid w:val="00887228"/>
    <w:rsid w:val="008877AD"/>
    <w:rsid w:val="008950C3"/>
    <w:rsid w:val="008A0F53"/>
    <w:rsid w:val="008A7F07"/>
    <w:rsid w:val="008B3696"/>
    <w:rsid w:val="008B3741"/>
    <w:rsid w:val="008C1507"/>
    <w:rsid w:val="008C59C4"/>
    <w:rsid w:val="008D56F1"/>
    <w:rsid w:val="008E0064"/>
    <w:rsid w:val="008E19DD"/>
    <w:rsid w:val="008E55CC"/>
    <w:rsid w:val="008E6F58"/>
    <w:rsid w:val="008F0716"/>
    <w:rsid w:val="008F0CCB"/>
    <w:rsid w:val="008F77A0"/>
    <w:rsid w:val="009042E7"/>
    <w:rsid w:val="009070B6"/>
    <w:rsid w:val="0093215B"/>
    <w:rsid w:val="00933629"/>
    <w:rsid w:val="009370D3"/>
    <w:rsid w:val="00946302"/>
    <w:rsid w:val="00950050"/>
    <w:rsid w:val="009519CF"/>
    <w:rsid w:val="0095260A"/>
    <w:rsid w:val="00952642"/>
    <w:rsid w:val="00952B00"/>
    <w:rsid w:val="00967407"/>
    <w:rsid w:val="00981112"/>
    <w:rsid w:val="00984624"/>
    <w:rsid w:val="009A697F"/>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32F6"/>
    <w:rsid w:val="00A47D0A"/>
    <w:rsid w:val="00A51CC7"/>
    <w:rsid w:val="00A54547"/>
    <w:rsid w:val="00A54ACB"/>
    <w:rsid w:val="00A56D0B"/>
    <w:rsid w:val="00A64001"/>
    <w:rsid w:val="00A64067"/>
    <w:rsid w:val="00A722D8"/>
    <w:rsid w:val="00A759C0"/>
    <w:rsid w:val="00A773D8"/>
    <w:rsid w:val="00A8472B"/>
    <w:rsid w:val="00A860CC"/>
    <w:rsid w:val="00A92261"/>
    <w:rsid w:val="00AA41CD"/>
    <w:rsid w:val="00AA458D"/>
    <w:rsid w:val="00AA6CD7"/>
    <w:rsid w:val="00AB0249"/>
    <w:rsid w:val="00AC0CD3"/>
    <w:rsid w:val="00AC2F9E"/>
    <w:rsid w:val="00AD0C26"/>
    <w:rsid w:val="00AF4D3D"/>
    <w:rsid w:val="00AF4D6C"/>
    <w:rsid w:val="00B02B55"/>
    <w:rsid w:val="00B050B4"/>
    <w:rsid w:val="00B05FC1"/>
    <w:rsid w:val="00B06CAB"/>
    <w:rsid w:val="00B06ED0"/>
    <w:rsid w:val="00B1793C"/>
    <w:rsid w:val="00B32CE4"/>
    <w:rsid w:val="00B345DA"/>
    <w:rsid w:val="00B41BE5"/>
    <w:rsid w:val="00B41DED"/>
    <w:rsid w:val="00B41EFD"/>
    <w:rsid w:val="00B46A8D"/>
    <w:rsid w:val="00B55162"/>
    <w:rsid w:val="00B56AC6"/>
    <w:rsid w:val="00B607E6"/>
    <w:rsid w:val="00B62491"/>
    <w:rsid w:val="00B645A3"/>
    <w:rsid w:val="00B7212E"/>
    <w:rsid w:val="00B73341"/>
    <w:rsid w:val="00B74DB4"/>
    <w:rsid w:val="00B7608D"/>
    <w:rsid w:val="00B81429"/>
    <w:rsid w:val="00B815B7"/>
    <w:rsid w:val="00B8274A"/>
    <w:rsid w:val="00B8325D"/>
    <w:rsid w:val="00B84A8E"/>
    <w:rsid w:val="00B854B3"/>
    <w:rsid w:val="00B87EBE"/>
    <w:rsid w:val="00B93C23"/>
    <w:rsid w:val="00BA1599"/>
    <w:rsid w:val="00BA7002"/>
    <w:rsid w:val="00BB1087"/>
    <w:rsid w:val="00BB1CC3"/>
    <w:rsid w:val="00BB3644"/>
    <w:rsid w:val="00BB4C84"/>
    <w:rsid w:val="00BB5E3C"/>
    <w:rsid w:val="00BC46EE"/>
    <w:rsid w:val="00BC4A11"/>
    <w:rsid w:val="00BD492E"/>
    <w:rsid w:val="00BD4FAA"/>
    <w:rsid w:val="00BD5A8D"/>
    <w:rsid w:val="00BE1E8C"/>
    <w:rsid w:val="00BE5DB9"/>
    <w:rsid w:val="00BF276E"/>
    <w:rsid w:val="00C02EEE"/>
    <w:rsid w:val="00C05A9B"/>
    <w:rsid w:val="00C06AED"/>
    <w:rsid w:val="00C0778D"/>
    <w:rsid w:val="00C1296D"/>
    <w:rsid w:val="00C14B5E"/>
    <w:rsid w:val="00C15DB2"/>
    <w:rsid w:val="00C16AD7"/>
    <w:rsid w:val="00C24260"/>
    <w:rsid w:val="00C269B9"/>
    <w:rsid w:val="00C33E1B"/>
    <w:rsid w:val="00C46533"/>
    <w:rsid w:val="00C5480B"/>
    <w:rsid w:val="00C7360F"/>
    <w:rsid w:val="00C76491"/>
    <w:rsid w:val="00C90EA0"/>
    <w:rsid w:val="00C92944"/>
    <w:rsid w:val="00CA02E5"/>
    <w:rsid w:val="00CB0203"/>
    <w:rsid w:val="00CB239F"/>
    <w:rsid w:val="00CC22E1"/>
    <w:rsid w:val="00CC570F"/>
    <w:rsid w:val="00CE7472"/>
    <w:rsid w:val="00CF4947"/>
    <w:rsid w:val="00D00468"/>
    <w:rsid w:val="00D00D0E"/>
    <w:rsid w:val="00D0723D"/>
    <w:rsid w:val="00D141C4"/>
    <w:rsid w:val="00D15B1D"/>
    <w:rsid w:val="00D17BB1"/>
    <w:rsid w:val="00D22F20"/>
    <w:rsid w:val="00D3012C"/>
    <w:rsid w:val="00D33EAC"/>
    <w:rsid w:val="00D361A1"/>
    <w:rsid w:val="00D37DCD"/>
    <w:rsid w:val="00D47AE8"/>
    <w:rsid w:val="00D50F7C"/>
    <w:rsid w:val="00D5128B"/>
    <w:rsid w:val="00D512A9"/>
    <w:rsid w:val="00D5545F"/>
    <w:rsid w:val="00D73895"/>
    <w:rsid w:val="00D747DC"/>
    <w:rsid w:val="00D74CC8"/>
    <w:rsid w:val="00D761E4"/>
    <w:rsid w:val="00D76389"/>
    <w:rsid w:val="00D80088"/>
    <w:rsid w:val="00D812C3"/>
    <w:rsid w:val="00D814F3"/>
    <w:rsid w:val="00D9203A"/>
    <w:rsid w:val="00D937B5"/>
    <w:rsid w:val="00D93B93"/>
    <w:rsid w:val="00D97F8C"/>
    <w:rsid w:val="00DB0260"/>
    <w:rsid w:val="00DC4050"/>
    <w:rsid w:val="00DE698B"/>
    <w:rsid w:val="00DE740C"/>
    <w:rsid w:val="00DF3FAB"/>
    <w:rsid w:val="00DF439E"/>
    <w:rsid w:val="00DF551B"/>
    <w:rsid w:val="00E00851"/>
    <w:rsid w:val="00E00DC4"/>
    <w:rsid w:val="00E0200F"/>
    <w:rsid w:val="00E0417E"/>
    <w:rsid w:val="00E162D8"/>
    <w:rsid w:val="00E167B3"/>
    <w:rsid w:val="00E2120E"/>
    <w:rsid w:val="00E238E7"/>
    <w:rsid w:val="00E249F0"/>
    <w:rsid w:val="00E26A65"/>
    <w:rsid w:val="00E303C4"/>
    <w:rsid w:val="00E30B2C"/>
    <w:rsid w:val="00E3203C"/>
    <w:rsid w:val="00E35219"/>
    <w:rsid w:val="00E4538B"/>
    <w:rsid w:val="00E51638"/>
    <w:rsid w:val="00E5551E"/>
    <w:rsid w:val="00E61069"/>
    <w:rsid w:val="00E71698"/>
    <w:rsid w:val="00E7275E"/>
    <w:rsid w:val="00E76DC0"/>
    <w:rsid w:val="00E8257F"/>
    <w:rsid w:val="00E82EFA"/>
    <w:rsid w:val="00EA532D"/>
    <w:rsid w:val="00EA7C8F"/>
    <w:rsid w:val="00EB0697"/>
    <w:rsid w:val="00EB0DE1"/>
    <w:rsid w:val="00EB47EC"/>
    <w:rsid w:val="00EC1AF8"/>
    <w:rsid w:val="00EC7864"/>
    <w:rsid w:val="00ED7061"/>
    <w:rsid w:val="00ED76CA"/>
    <w:rsid w:val="00EE261C"/>
    <w:rsid w:val="00EE3308"/>
    <w:rsid w:val="00EF0A78"/>
    <w:rsid w:val="00EF292F"/>
    <w:rsid w:val="00EF7C3D"/>
    <w:rsid w:val="00F03BCB"/>
    <w:rsid w:val="00F12E0E"/>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1205"/>
    <w:rsid w:val="00F82454"/>
    <w:rsid w:val="00F83630"/>
    <w:rsid w:val="00F9126B"/>
    <w:rsid w:val="00F95C72"/>
    <w:rsid w:val="00F95E59"/>
    <w:rsid w:val="00FA5FFE"/>
    <w:rsid w:val="00FB1883"/>
    <w:rsid w:val="00FB2F3C"/>
    <w:rsid w:val="00FB3DB6"/>
    <w:rsid w:val="00FD4878"/>
    <w:rsid w:val="00FE1228"/>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 w:id="725446756">
      <w:bodyDiv w:val="1"/>
      <w:marLeft w:val="0"/>
      <w:marRight w:val="0"/>
      <w:marTop w:val="0"/>
      <w:marBottom w:val="0"/>
      <w:divBdr>
        <w:top w:val="none" w:sz="0" w:space="0" w:color="auto"/>
        <w:left w:val="none" w:sz="0" w:space="0" w:color="auto"/>
        <w:bottom w:val="none" w:sz="0" w:space="0" w:color="auto"/>
        <w:right w:val="none" w:sz="0" w:space="0" w:color="auto"/>
      </w:divBdr>
      <w:divsChild>
        <w:div w:id="634339971">
          <w:marLeft w:val="0"/>
          <w:marRight w:val="0"/>
          <w:marTop w:val="0"/>
          <w:marBottom w:val="0"/>
          <w:divBdr>
            <w:top w:val="none" w:sz="0" w:space="0" w:color="auto"/>
            <w:left w:val="none" w:sz="0" w:space="0" w:color="auto"/>
            <w:bottom w:val="none" w:sz="0" w:space="0" w:color="auto"/>
            <w:right w:val="none" w:sz="0" w:space="0" w:color="auto"/>
          </w:divBdr>
          <w:divsChild>
            <w:div w:id="1501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674">
      <w:bodyDiv w:val="1"/>
      <w:marLeft w:val="0"/>
      <w:marRight w:val="0"/>
      <w:marTop w:val="0"/>
      <w:marBottom w:val="0"/>
      <w:divBdr>
        <w:top w:val="none" w:sz="0" w:space="0" w:color="auto"/>
        <w:left w:val="none" w:sz="0" w:space="0" w:color="auto"/>
        <w:bottom w:val="none" w:sz="0" w:space="0" w:color="auto"/>
        <w:right w:val="none" w:sz="0" w:space="0" w:color="auto"/>
      </w:divBdr>
      <w:divsChild>
        <w:div w:id="1172254832">
          <w:marLeft w:val="0"/>
          <w:marRight w:val="0"/>
          <w:marTop w:val="0"/>
          <w:marBottom w:val="0"/>
          <w:divBdr>
            <w:top w:val="none" w:sz="0" w:space="0" w:color="auto"/>
            <w:left w:val="none" w:sz="0" w:space="0" w:color="auto"/>
            <w:bottom w:val="none" w:sz="0" w:space="0" w:color="auto"/>
            <w:right w:val="none" w:sz="0" w:space="0" w:color="auto"/>
          </w:divBdr>
          <w:divsChild>
            <w:div w:id="986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570">
      <w:bodyDiv w:val="1"/>
      <w:marLeft w:val="0"/>
      <w:marRight w:val="0"/>
      <w:marTop w:val="0"/>
      <w:marBottom w:val="0"/>
      <w:divBdr>
        <w:top w:val="none" w:sz="0" w:space="0" w:color="auto"/>
        <w:left w:val="none" w:sz="0" w:space="0" w:color="auto"/>
        <w:bottom w:val="none" w:sz="0" w:space="0" w:color="auto"/>
        <w:right w:val="none" w:sz="0" w:space="0" w:color="auto"/>
      </w:divBdr>
      <w:divsChild>
        <w:div w:id="253782549">
          <w:marLeft w:val="0"/>
          <w:marRight w:val="0"/>
          <w:marTop w:val="0"/>
          <w:marBottom w:val="0"/>
          <w:divBdr>
            <w:top w:val="none" w:sz="0" w:space="0" w:color="auto"/>
            <w:left w:val="none" w:sz="0" w:space="0" w:color="auto"/>
            <w:bottom w:val="none" w:sz="0" w:space="0" w:color="auto"/>
            <w:right w:val="none" w:sz="0" w:space="0" w:color="auto"/>
          </w:divBdr>
          <w:divsChild>
            <w:div w:id="674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ustomXml" Target="../customXml/item10.xml"/><Relationship Id="rId19" Type="http://schemas.openxmlformats.org/officeDocument/2006/relationships/hyperlink" Target="mailto:legalreview@biomedrealty.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CPS3UU4EYWFU-111-1848</_dlc_DocId>
    <_dlc_DocIdUrl xmlns="590759e7-0ec1-4891-9b36-3e7724153386">
      <Url>http://bmrnews/Legal/_layouts/15/DocIdRedir.aspx?ID=CPS3UU4EYWFU-111-1848</Url>
      <Description>CPS3UU4EYWFU-111-1848</Description>
    </_dlc_DocIdUrl>
  </documentManagement>
</p:properties>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20078F2-8C0F-401A-9980-0C86E3587C9C}">
  <ds:schemaRefs>
    <ds:schemaRef ds:uri="http://schemas.openxmlformats.org/officeDocument/2006/bibliography"/>
  </ds:schemaRefs>
</ds:datastoreItem>
</file>

<file path=customXml/itemProps10.xml><?xml version="1.0" encoding="utf-8"?>
<ds:datastoreItem xmlns:ds="http://schemas.openxmlformats.org/officeDocument/2006/customXml" ds:itemID="{4ED1569C-8F66-45FF-800F-D55CF4A0CF09}">
  <ds:schemaRefs>
    <ds:schemaRef ds:uri="http://schemas.microsoft.com/office/2006/metadata/properties"/>
    <ds:schemaRef ds:uri="http://schemas.microsoft.com/office/infopath/2007/PartnerControls"/>
    <ds:schemaRef ds:uri="590759e7-0ec1-4891-9b36-3e7724153386"/>
  </ds:schemaRefs>
</ds:datastoreItem>
</file>

<file path=customXml/itemProps11.xml><?xml version="1.0" encoding="utf-8"?>
<ds:datastoreItem xmlns:ds="http://schemas.openxmlformats.org/officeDocument/2006/customXml" ds:itemID="{98BEF44D-9C14-4377-BC6E-A3E78458CEBA}">
  <ds:schemaRefs>
    <ds:schemaRef ds:uri="http://schemas.openxmlformats.org/officeDocument/2006/bibliography"/>
  </ds:schemaRefs>
</ds:datastoreItem>
</file>

<file path=customXml/itemProps12.xml><?xml version="1.0" encoding="utf-8"?>
<ds:datastoreItem xmlns:ds="http://schemas.openxmlformats.org/officeDocument/2006/customXml" ds:itemID="{C1DE02F7-2A55-4C30-A17C-7F6ADD3FD924}">
  <ds:schemaRefs>
    <ds:schemaRef ds:uri="http://schemas.openxmlformats.org/officeDocument/2006/bibliography"/>
  </ds:schemaRefs>
</ds:datastoreItem>
</file>

<file path=customXml/itemProps2.xml><?xml version="1.0" encoding="utf-8"?>
<ds:datastoreItem xmlns:ds="http://schemas.openxmlformats.org/officeDocument/2006/customXml" ds:itemID="{AE67E1C3-621A-4579-9004-902563A8CF9C}">
  <ds:schemaRefs>
    <ds:schemaRef ds:uri="http://schemas.openxmlformats.org/officeDocument/2006/bibliography"/>
  </ds:schemaRefs>
</ds:datastoreItem>
</file>

<file path=customXml/itemProps3.xml><?xml version="1.0" encoding="utf-8"?>
<ds:datastoreItem xmlns:ds="http://schemas.openxmlformats.org/officeDocument/2006/customXml" ds:itemID="{FED60912-0C8A-490D-89E8-ACCA76204A3C}">
  <ds:schemaRefs>
    <ds:schemaRef ds:uri="http://schemas.microsoft.com/sharepoint/v3/contenttype/forms"/>
  </ds:schemaRefs>
</ds:datastoreItem>
</file>

<file path=customXml/itemProps4.xml><?xml version="1.0" encoding="utf-8"?>
<ds:datastoreItem xmlns:ds="http://schemas.openxmlformats.org/officeDocument/2006/customXml" ds:itemID="{B0F0C088-629C-4D24-A5C0-D9305264F694}">
  <ds:schemaRefs>
    <ds:schemaRef ds:uri="http://schemas.openxmlformats.org/officeDocument/2006/bibliography"/>
  </ds:schemaRefs>
</ds:datastoreItem>
</file>

<file path=customXml/itemProps5.xml><?xml version="1.0" encoding="utf-8"?>
<ds:datastoreItem xmlns:ds="http://schemas.openxmlformats.org/officeDocument/2006/customXml" ds:itemID="{CD9539D4-2ED9-41D0-85A3-02EE532E6B9D}">
  <ds:schemaRefs>
    <ds:schemaRef ds:uri="http://schemas.openxmlformats.org/officeDocument/2006/bibliography"/>
  </ds:schemaRefs>
</ds:datastoreItem>
</file>

<file path=customXml/itemProps6.xml><?xml version="1.0" encoding="utf-8"?>
<ds:datastoreItem xmlns:ds="http://schemas.openxmlformats.org/officeDocument/2006/customXml" ds:itemID="{7C420356-E306-4910-AFD1-EFEFF6723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9CB160E6-5E7A-458F-BB82-5C67D32E02D4}">
  <ds:schemaRefs>
    <ds:schemaRef ds:uri="http://schemas.openxmlformats.org/officeDocument/2006/bibliography"/>
  </ds:schemaRefs>
</ds:datastoreItem>
</file>

<file path=customXml/itemProps8.xml><?xml version="1.0" encoding="utf-8"?>
<ds:datastoreItem xmlns:ds="http://schemas.openxmlformats.org/officeDocument/2006/customXml" ds:itemID="{ACF8534E-CB27-4CA6-AE28-D35F982F7232}">
  <ds:schemaRefs>
    <ds:schemaRef ds:uri="http://schemas.openxmlformats.org/officeDocument/2006/bibliography"/>
  </ds:schemaRefs>
</ds:datastoreItem>
</file>

<file path=customXml/itemProps9.xml><?xml version="1.0" encoding="utf-8"?>
<ds:datastoreItem xmlns:ds="http://schemas.openxmlformats.org/officeDocument/2006/customXml" ds:itemID="{97187CBF-7F5F-4516-B031-942A2AA9566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5506</Words>
  <Characters>31386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53</cp:revision>
  <dcterms:created xsi:type="dcterms:W3CDTF">2022-04-13T23:08:00Z</dcterms:created>
  <dcterms:modified xsi:type="dcterms:W3CDTF">2022-05-30T12:38:00Z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ac3b54ae-c83b-4fb0-b5c5-1149d0622fd9</vt:lpwstr>
  </property>
</Properties>
</file>