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a2f460830722bf4004775b3068caa71fead05a"/>
    <w:p>
      <w:pPr>
        <w:pStyle w:val="Heading1"/>
      </w:pPr>
      <w:r>
        <w:t xml:space="preserve">🧾 CRE ANAMNESE-UNTERCANVAS – GANZHEITLICHE STRUKTURIERTE ANAMNESE (CANVAS v1)</w:t>
      </w:r>
    </w:p>
    <w:p>
      <w:pPr>
        <w:pStyle w:val="BlockText"/>
      </w:pPr>
      <w:r>
        <w:t xml:space="preserve">Zweck dieses Unter-Canvas:</w:t>
      </w:r>
      <w:r>
        <w:t xml:space="preserve"> </w:t>
      </w:r>
      <w:r>
        <w:rPr>
          <w:b/>
          <w:bCs/>
        </w:rPr>
        <w:t xml:space="preserve">vollständige, sichere und reproduzierbare Erfassung des Patienten als Ganzes</w:t>
      </w:r>
      <w:r>
        <w:t xml:space="preserve"> </w:t>
      </w:r>
      <w:r>
        <w:t xml:space="preserve">– ergänzend zur symptombezogenen 10‑W‑Anamnese.</w:t>
      </w:r>
      <w:r>
        <w:br/>
      </w:r>
      <w:r>
        <w:t xml:space="preserve">Einsatz: stationäre Aufnahmen, komplexe internistische/allgemeinmedizinische Fälle, geriatrische &amp; multimorbide Patient:innen.</w:t>
      </w:r>
    </w:p>
    <w:p>
      <w:r>
        <w:pict>
          <v:rect style="width:0;height:1.5pt" o:hralign="center" o:hrstd="t" o:hr="t"/>
        </w:pict>
      </w:r>
    </w:p>
    <w:bookmarkStart w:id="20" w:name="medizinisches-ziel-stellenwert"/>
    <w:p>
      <w:pPr>
        <w:pStyle w:val="Heading2"/>
      </w:pPr>
      <w:r>
        <w:t xml:space="preserve">1) Medizinisches Ziel &amp; Stellenwert</w:t>
      </w:r>
    </w:p>
    <w:p>
      <w:pPr>
        <w:pStyle w:val="FirstParagraph"/>
      </w:pPr>
      <w:r>
        <w:t xml:space="preserve">Während die</w:t>
      </w:r>
      <w:r>
        <w:t xml:space="preserve"> </w:t>
      </w:r>
      <w:r>
        <w:rPr>
          <w:b/>
          <w:bCs/>
        </w:rPr>
        <w:t xml:space="preserve">10‑W‑Fragen</w:t>
      </w:r>
      <w:r>
        <w:t xml:space="preserve"> </w:t>
      </w:r>
      <w:r>
        <w:t xml:space="preserve">das</w:t>
      </w:r>
      <w:r>
        <w:t xml:space="preserve"> </w:t>
      </w:r>
      <w:r>
        <w:rPr>
          <w:i/>
          <w:iCs/>
        </w:rPr>
        <w:t xml:space="preserve">akute Leitsymptom</w:t>
      </w:r>
      <w:r>
        <w:t xml:space="preserve"> </w:t>
      </w:r>
      <w:r>
        <w:t xml:space="preserve">strukturieren, beantwortet die</w:t>
      </w:r>
      <w:r>
        <w:t xml:space="preserve"> </w:t>
      </w:r>
      <w:r>
        <w:rPr>
          <w:b/>
          <w:bCs/>
        </w:rPr>
        <w:t xml:space="preserve">ganzheitliche Anamnese</w:t>
      </w:r>
      <w:r>
        <w:t xml:space="preserve"> </w:t>
      </w:r>
      <w:r>
        <w:t xml:space="preserve">die Frage:</w:t>
      </w:r>
    </w:p>
    <w:p>
      <w:pPr>
        <w:pStyle w:val="BlockText"/>
      </w:pPr>
      <w:r>
        <w:rPr>
          <w:i/>
          <w:iCs/>
        </w:rPr>
        <w:t xml:space="preserve">„In welchem biologischen, medizinischen und sozialen Kontext tritt dieses Symptom auf?“</w:t>
      </w:r>
    </w:p>
    <w:p>
      <w:pPr>
        <w:pStyle w:val="FirstParagraph"/>
      </w:pPr>
      <w:r>
        <w:t xml:space="preserve">Sie dient der:</w:t>
      </w:r>
      <w:r>
        <w:t xml:space="preserve"> </w:t>
      </w:r>
      <w:r>
        <w:t xml:space="preserve">- Risikoabschätzung</w:t>
      </w:r>
      <w:r>
        <w:t xml:space="preserve"> </w:t>
      </w:r>
      <w:r>
        <w:t xml:space="preserve">- Erkennung verdeckter Ursachen</w:t>
      </w:r>
      <w:r>
        <w:t xml:space="preserve"> </w:t>
      </w:r>
      <w:r>
        <w:t xml:space="preserve">- Vermeidung iatrogener Schäden</w:t>
      </w:r>
      <w:r>
        <w:t xml:space="preserve"> </w:t>
      </w:r>
      <w:r>
        <w:t xml:space="preserve">- Vorbereitung sicherer Therapieentscheidungen (durch den Arzt)</w:t>
      </w:r>
    </w:p>
    <w:p>
      <w:r>
        <w:pict>
          <v:rect style="width:0;height:1.5pt" o:hralign="center" o:hrstd="t" o:hr="t"/>
        </w:pict>
      </w:r>
    </w:p>
    <w:bookmarkEnd w:id="20"/>
    <w:bookmarkStart w:id="21" w:name="trichter-prinzip-workflow-logik"/>
    <w:p>
      <w:pPr>
        <w:pStyle w:val="Heading2"/>
      </w:pPr>
      <w:r>
        <w:t xml:space="preserve">2) Trichter-Prinzip (Workflow-Logik)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Offene Einstiegsfrage</w:t>
      </w:r>
      <w:r>
        <w:t xml:space="preserve"> </w:t>
      </w:r>
      <w:r>
        <w:t xml:space="preserve">(narrativ)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Symptombezogene Anamnese</w:t>
      </w:r>
      <w:r>
        <w:t xml:space="preserve"> </w:t>
      </w:r>
      <w:r>
        <w:t xml:space="preserve">(10‑W / OPQRST – eigenes Unter‑Canvas)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Strukturierte Hintergrundanamnese</w:t>
      </w:r>
      <w:r>
        <w:t xml:space="preserve"> </w:t>
      </w:r>
      <w:r>
        <w:t xml:space="preserve">(dieses Canvas)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Systemanamnese (ROS)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Zusammenfassung &amp; Validierung (Teach‑Back)</w:t>
      </w:r>
    </w:p>
    <w:p>
      <w:r>
        <w:pict>
          <v:rect style="width:0;height:1.5pt" o:hralign="center" o:hrstd="t" o:hr="t"/>
        </w:pict>
      </w:r>
    </w:p>
    <w:bookmarkEnd w:id="21"/>
    <w:bookmarkStart w:id="27" w:name="eigenanamnese-vorerkrankungen"/>
    <w:p>
      <w:pPr>
        <w:pStyle w:val="Heading2"/>
      </w:pPr>
      <w:r>
        <w:t xml:space="preserve">3) Eigenanamnese (Vorerkrankungen)</w:t>
      </w:r>
    </w:p>
    <w:bookmarkStart w:id="22" w:name="chronische-erkrankungen"/>
    <w:p>
      <w:pPr>
        <w:pStyle w:val="Heading3"/>
      </w:pPr>
      <w:r>
        <w:t xml:space="preserve">3.1 Chronische Erkrankungen</w:t>
      </w:r>
    </w:p>
    <w:p>
      <w:pPr>
        <w:pStyle w:val="FirstParagraph"/>
      </w:pPr>
      <w:r>
        <w:t xml:space="preserve">Gezielte Abfrage, inkl. Beginn &amp; Status:</w:t>
      </w:r>
      <w:r>
        <w:t xml:space="preserve"> </w:t>
      </w:r>
      <w:r>
        <w:t xml:space="preserve">- arterielle Hypertonie</w:t>
      </w:r>
      <w:r>
        <w:t xml:space="preserve"> </w:t>
      </w:r>
      <w:r>
        <w:t xml:space="preserve">- Diabetes mellitus</w:t>
      </w:r>
      <w:r>
        <w:t xml:space="preserve"> </w:t>
      </w:r>
      <w:r>
        <w:t xml:space="preserve">- Herz‑/Gefäßerkrankungen</w:t>
      </w:r>
      <w:r>
        <w:t xml:space="preserve"> </w:t>
      </w:r>
      <w:r>
        <w:t xml:space="preserve">- Lungenerkrankungen (Asthma, COPD)</w:t>
      </w:r>
      <w:r>
        <w:t xml:space="preserve"> </w:t>
      </w:r>
      <w:r>
        <w:t xml:space="preserve">- Schilddrüsenerkrankungen</w:t>
      </w:r>
      <w:r>
        <w:t xml:space="preserve"> </w:t>
      </w:r>
      <w:r>
        <w:t xml:space="preserve">- onkologische Erkrankungen</w:t>
      </w:r>
      <w:r>
        <w:t xml:space="preserve"> </w:t>
      </w:r>
      <w:r>
        <w:t xml:space="preserve">- neurologische / psychische Erkrankungen</w:t>
      </w:r>
    </w:p>
    <w:p>
      <w:pPr>
        <w:pStyle w:val="BodyText"/>
      </w:pPr>
      <w:r>
        <w:t xml:space="preserve">➡️ Jede Erkrankung =</w:t>
      </w:r>
      <w:r>
        <w:t xml:space="preserve"> </w:t>
      </w:r>
      <w:r>
        <w:rPr>
          <w:b/>
          <w:bCs/>
        </w:rPr>
        <w:t xml:space="preserve">EvidenceItem</w:t>
      </w:r>
      <w:r>
        <w:t xml:space="preserve"> </w:t>
      </w:r>
      <w:r>
        <w:t xml:space="preserve">mit Zeitachse.</w:t>
      </w:r>
    </w:p>
    <w:bookmarkEnd w:id="22"/>
    <w:bookmarkStart w:id="23" w:name="operationen-prozeduren"/>
    <w:p>
      <w:pPr>
        <w:pStyle w:val="Heading3"/>
      </w:pPr>
      <w:r>
        <w:t xml:space="preserve">3.2 Operationen &amp; Prozeduren</w:t>
      </w:r>
    </w:p>
    <w:p>
      <w:pPr>
        <w:pStyle w:val="Compact"/>
        <w:numPr>
          <w:ilvl w:val="0"/>
          <w:numId w:val="1002"/>
        </w:numPr>
      </w:pPr>
      <w:r>
        <w:t xml:space="preserve">Art der OP</w:t>
      </w:r>
    </w:p>
    <w:p>
      <w:pPr>
        <w:pStyle w:val="Compact"/>
        <w:numPr>
          <w:ilvl w:val="0"/>
          <w:numId w:val="1002"/>
        </w:numPr>
      </w:pPr>
      <w:r>
        <w:t xml:space="preserve">Jahr</w:t>
      </w:r>
    </w:p>
    <w:p>
      <w:pPr>
        <w:pStyle w:val="Compact"/>
        <w:numPr>
          <w:ilvl w:val="0"/>
          <w:numId w:val="1002"/>
        </w:numPr>
      </w:pPr>
      <w:r>
        <w:t xml:space="preserve">relevante Komplikationen</w:t>
      </w:r>
    </w:p>
    <w:bookmarkEnd w:id="23"/>
    <w:bookmarkStart w:id="24" w:name="krankenhausaufenthalte"/>
    <w:p>
      <w:pPr>
        <w:pStyle w:val="Heading3"/>
      </w:pPr>
      <w:r>
        <w:t xml:space="preserve">3.3 Krankenhausaufenthalte</w:t>
      </w:r>
    </w:p>
    <w:p>
      <w:pPr>
        <w:pStyle w:val="Compact"/>
        <w:numPr>
          <w:ilvl w:val="0"/>
          <w:numId w:val="1003"/>
        </w:numPr>
      </w:pPr>
      <w:r>
        <w:t xml:space="preserve">Zeitpunkt</w:t>
      </w:r>
    </w:p>
    <w:p>
      <w:pPr>
        <w:pStyle w:val="Compact"/>
        <w:numPr>
          <w:ilvl w:val="0"/>
          <w:numId w:val="1003"/>
        </w:numPr>
      </w:pPr>
      <w:r>
        <w:t xml:space="preserve">Anlass</w:t>
      </w:r>
    </w:p>
    <w:p>
      <w:pPr>
        <w:pStyle w:val="Compact"/>
        <w:numPr>
          <w:ilvl w:val="0"/>
          <w:numId w:val="1003"/>
        </w:numPr>
      </w:pPr>
      <w:r>
        <w:t xml:space="preserve">Dauer</w:t>
      </w:r>
    </w:p>
    <w:bookmarkEnd w:id="24"/>
    <w:bookmarkStart w:id="25" w:name="Xa180fc1b81fde9aab55e2516c5a376eafbe8c3d"/>
    <w:p>
      <w:pPr>
        <w:pStyle w:val="Heading3"/>
      </w:pPr>
      <w:r>
        <w:t xml:space="preserve">3.4 Relevante Infektionskrankheiten (kontextabhängig)</w:t>
      </w:r>
    </w:p>
    <w:p>
      <w:pPr>
        <w:pStyle w:val="Compact"/>
        <w:numPr>
          <w:ilvl w:val="0"/>
          <w:numId w:val="1004"/>
        </w:numPr>
      </w:pPr>
      <w:r>
        <w:t xml:space="preserve">z. B. Hepatitis, Tuberkulose, HIV, Endokarditis</w:t>
      </w:r>
    </w:p>
    <w:bookmarkEnd w:id="25"/>
    <w:bookmarkStart w:id="26" w:name="impfstatus"/>
    <w:p>
      <w:pPr>
        <w:pStyle w:val="Heading3"/>
      </w:pPr>
      <w:r>
        <w:t xml:space="preserve">3.5 Impfstatus</w:t>
      </w:r>
    </w:p>
    <w:p>
      <w:pPr>
        <w:pStyle w:val="Compact"/>
        <w:numPr>
          <w:ilvl w:val="0"/>
          <w:numId w:val="1005"/>
        </w:numPr>
      </w:pPr>
      <w:r>
        <w:t xml:space="preserve">letzte Tetanus‑Impfung</w:t>
      </w:r>
    </w:p>
    <w:p>
      <w:pPr>
        <w:pStyle w:val="Compact"/>
        <w:numPr>
          <w:ilvl w:val="0"/>
          <w:numId w:val="1005"/>
        </w:numPr>
      </w:pPr>
      <w:r>
        <w:t xml:space="preserve">COVID‑/Influenza‑Status (falls relevant)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edikamentenanamnese-hochrisikobereich"/>
    <w:p>
      <w:pPr>
        <w:pStyle w:val="Heading2"/>
      </w:pPr>
      <w:r>
        <w:t xml:space="preserve">4) Medikamentenanamnese (Hochrisikobereich)</w:t>
      </w:r>
    </w:p>
    <w:bookmarkStart w:id="28" w:name="dauermedikation"/>
    <w:p>
      <w:pPr>
        <w:pStyle w:val="Heading3"/>
      </w:pPr>
      <w:r>
        <w:t xml:space="preserve">4.1 Dauermedikation</w:t>
      </w:r>
    </w:p>
    <w:p>
      <w:pPr>
        <w:pStyle w:val="Compact"/>
        <w:numPr>
          <w:ilvl w:val="0"/>
          <w:numId w:val="1006"/>
        </w:numPr>
      </w:pPr>
      <w:r>
        <w:t xml:space="preserve">Wirkstoff / Handelsname</w:t>
      </w:r>
    </w:p>
    <w:p>
      <w:pPr>
        <w:pStyle w:val="Compact"/>
        <w:numPr>
          <w:ilvl w:val="0"/>
          <w:numId w:val="1006"/>
        </w:numPr>
      </w:pPr>
      <w:r>
        <w:t xml:space="preserve">Dosis</w:t>
      </w:r>
    </w:p>
    <w:p>
      <w:pPr>
        <w:pStyle w:val="Compact"/>
        <w:numPr>
          <w:ilvl w:val="0"/>
          <w:numId w:val="1006"/>
        </w:numPr>
      </w:pPr>
      <w:r>
        <w:t xml:space="preserve">Einnahmeschema</w:t>
      </w:r>
    </w:p>
    <w:bookmarkEnd w:id="28"/>
    <w:bookmarkStart w:id="29" w:name="bedarfsmedikation"/>
    <w:p>
      <w:pPr>
        <w:pStyle w:val="Heading3"/>
      </w:pPr>
      <w:r>
        <w:t xml:space="preserve">4.2 Bedarfsmedikation</w:t>
      </w:r>
    </w:p>
    <w:p>
      <w:pPr>
        <w:pStyle w:val="Compact"/>
        <w:numPr>
          <w:ilvl w:val="0"/>
          <w:numId w:val="1007"/>
        </w:numPr>
      </w:pPr>
      <w:r>
        <w:t xml:space="preserve">Indikation</w:t>
      </w:r>
    </w:p>
    <w:p>
      <w:pPr>
        <w:pStyle w:val="Compact"/>
        <w:numPr>
          <w:ilvl w:val="0"/>
          <w:numId w:val="1007"/>
        </w:numPr>
      </w:pPr>
      <w:r>
        <w:t xml:space="preserve">Häufigkeit</w:t>
      </w:r>
    </w:p>
    <w:bookmarkEnd w:id="29"/>
    <w:bookmarkStart w:id="30" w:name="selbstmedikation-supplemente"/>
    <w:p>
      <w:pPr>
        <w:pStyle w:val="Heading3"/>
      </w:pPr>
      <w:r>
        <w:t xml:space="preserve">4.3 Selbstmedikation &amp; Supplemente</w:t>
      </w:r>
    </w:p>
    <w:p>
      <w:pPr>
        <w:pStyle w:val="Compact"/>
        <w:numPr>
          <w:ilvl w:val="0"/>
          <w:numId w:val="1008"/>
        </w:numPr>
      </w:pPr>
      <w:r>
        <w:t xml:space="preserve">pflanzliche Präparate</w:t>
      </w:r>
    </w:p>
    <w:p>
      <w:pPr>
        <w:pStyle w:val="Compact"/>
        <w:numPr>
          <w:ilvl w:val="0"/>
          <w:numId w:val="1008"/>
        </w:numPr>
      </w:pPr>
      <w:r>
        <w:t xml:space="preserve">Vitamine / Nahrungsergänzung</w:t>
      </w:r>
    </w:p>
    <w:bookmarkEnd w:id="30"/>
    <w:bookmarkStart w:id="31" w:name="adhärenz-verträglichkeit"/>
    <w:p>
      <w:pPr>
        <w:pStyle w:val="Heading3"/>
      </w:pPr>
      <w:r>
        <w:t xml:space="preserve">4.4 Adhärenz / Verträglichkeit</w:t>
      </w:r>
    </w:p>
    <w:p>
      <w:pPr>
        <w:pStyle w:val="Compact"/>
        <w:numPr>
          <w:ilvl w:val="0"/>
          <w:numId w:val="1009"/>
        </w:numPr>
      </w:pPr>
      <w:r>
        <w:t xml:space="preserve">Einnahmeprobleme</w:t>
      </w:r>
    </w:p>
    <w:p>
      <w:pPr>
        <w:pStyle w:val="Compact"/>
        <w:numPr>
          <w:ilvl w:val="0"/>
          <w:numId w:val="1009"/>
        </w:numPr>
      </w:pPr>
      <w:r>
        <w:t xml:space="preserve">Nebenwirkungen</w:t>
      </w:r>
    </w:p>
    <w:p>
      <w:pPr>
        <w:pStyle w:val="FirstParagraph"/>
      </w:pPr>
      <w:r>
        <w:t xml:space="preserve">➡️ Basis für</w:t>
      </w:r>
      <w:r>
        <w:t xml:space="preserve"> </w:t>
      </w:r>
      <w:r>
        <w:rPr>
          <w:b/>
          <w:bCs/>
        </w:rPr>
        <w:t xml:space="preserve">Interaktions‑Hinweise (nicht Therapie!)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llergien-unverträglichkeiten"/>
    <w:p>
      <w:pPr>
        <w:pStyle w:val="Heading2"/>
      </w:pPr>
      <w:r>
        <w:t xml:space="preserve">5) Allergien &amp; Unverträglichkeiten</w:t>
      </w:r>
    </w:p>
    <w:p>
      <w:pPr>
        <w:pStyle w:val="Compact"/>
        <w:numPr>
          <w:ilvl w:val="0"/>
          <w:numId w:val="1010"/>
        </w:numPr>
      </w:pPr>
      <w:r>
        <w:t xml:space="preserve">Medikamente (Art der Reaktion!)</w:t>
      </w:r>
    </w:p>
    <w:p>
      <w:pPr>
        <w:pStyle w:val="Compact"/>
        <w:numPr>
          <w:ilvl w:val="0"/>
          <w:numId w:val="1010"/>
        </w:numPr>
      </w:pPr>
      <w:r>
        <w:t xml:space="preserve">Kontrastmittel / Jod</w:t>
      </w:r>
    </w:p>
    <w:p>
      <w:pPr>
        <w:pStyle w:val="Compact"/>
        <w:numPr>
          <w:ilvl w:val="0"/>
          <w:numId w:val="1010"/>
        </w:numPr>
      </w:pPr>
      <w:r>
        <w:t xml:space="preserve">Nahrungsmittel</w:t>
      </w:r>
    </w:p>
    <w:p>
      <w:pPr>
        <w:pStyle w:val="Compact"/>
        <w:numPr>
          <w:ilvl w:val="0"/>
          <w:numId w:val="1010"/>
        </w:numPr>
      </w:pPr>
      <w:r>
        <w:t xml:space="preserve">Latex, Pflaster, Insektenstiche</w:t>
      </w:r>
    </w:p>
    <w:p>
      <w:pPr>
        <w:pStyle w:val="FirstParagraph"/>
      </w:pPr>
      <w:r>
        <w:rPr>
          <w:b/>
          <w:bCs/>
        </w:rPr>
        <w:t xml:space="preserve">Systemregel:</w:t>
      </w:r>
      <w:r>
        <w:t xml:space="preserve"> </w:t>
      </w:r>
      <w:r>
        <w:t xml:space="preserve">- echte Allergie ≠ Unverträglichkeit</w:t>
      </w:r>
    </w:p>
    <w:p>
      <w:r>
        <w:pict>
          <v:rect style="width:0;height:1.5pt" o:hralign="center" o:hrstd="t" o:hr="t"/>
        </w:pict>
      </w:r>
    </w:p>
    <w:bookmarkEnd w:id="33"/>
    <w:bookmarkStart w:id="40" w:name="vegetative-anamnese"/>
    <w:p>
      <w:pPr>
        <w:pStyle w:val="Heading2"/>
      </w:pPr>
      <w:r>
        <w:t xml:space="preserve">6) Vegetative Anamnese</w:t>
      </w:r>
    </w:p>
    <w:bookmarkStart w:id="34" w:name="bsymptomatik-redflagrelevant"/>
    <w:p>
      <w:pPr>
        <w:pStyle w:val="Heading3"/>
      </w:pPr>
      <w:r>
        <w:t xml:space="preserve">6.1 B‑Symptomatik (Red‑Flag‑relevant)</w:t>
      </w:r>
    </w:p>
    <w:p>
      <w:pPr>
        <w:pStyle w:val="Compact"/>
        <w:numPr>
          <w:ilvl w:val="0"/>
          <w:numId w:val="1011"/>
        </w:numPr>
      </w:pPr>
      <w:r>
        <w:t xml:space="preserve">Fieber</w:t>
      </w:r>
    </w:p>
    <w:p>
      <w:pPr>
        <w:pStyle w:val="Compact"/>
        <w:numPr>
          <w:ilvl w:val="0"/>
          <w:numId w:val="1011"/>
        </w:numPr>
      </w:pPr>
      <w:r>
        <w:t xml:space="preserve">Nachtschweiß (Wäschewechsel nötig?)</w:t>
      </w:r>
    </w:p>
    <w:p>
      <w:pPr>
        <w:pStyle w:val="Compact"/>
        <w:numPr>
          <w:ilvl w:val="0"/>
          <w:numId w:val="1011"/>
        </w:numPr>
      </w:pPr>
      <w:r>
        <w:t xml:space="preserve">ungewollter Gewichtsverlust (&gt;10 % / 6 Monate)</w:t>
      </w:r>
    </w:p>
    <w:bookmarkEnd w:id="34"/>
    <w:bookmarkStart w:id="35" w:name="appetit-durst"/>
    <w:p>
      <w:pPr>
        <w:pStyle w:val="Heading3"/>
      </w:pPr>
      <w:r>
        <w:t xml:space="preserve">6.2 Appetit &amp; Durst</w:t>
      </w:r>
    </w:p>
    <w:bookmarkEnd w:id="35"/>
    <w:bookmarkStart w:id="36" w:name="verdauung"/>
    <w:p>
      <w:pPr>
        <w:pStyle w:val="Heading3"/>
      </w:pPr>
      <w:r>
        <w:t xml:space="preserve">6.3 Verdauung</w:t>
      </w:r>
    </w:p>
    <w:p>
      <w:pPr>
        <w:pStyle w:val="Compact"/>
        <w:numPr>
          <w:ilvl w:val="0"/>
          <w:numId w:val="1012"/>
        </w:numPr>
      </w:pPr>
      <w:r>
        <w:t xml:space="preserve">Stuhlgang (Frequenz, Farbe, Blut)</w:t>
      </w:r>
    </w:p>
    <w:p>
      <w:pPr>
        <w:pStyle w:val="Compact"/>
        <w:numPr>
          <w:ilvl w:val="0"/>
          <w:numId w:val="1012"/>
        </w:numPr>
      </w:pPr>
      <w:r>
        <w:t xml:space="preserve">Konsistenz (Bristol‑Skala optional)</w:t>
      </w:r>
    </w:p>
    <w:bookmarkEnd w:id="36"/>
    <w:bookmarkStart w:id="37" w:name="miktion"/>
    <w:p>
      <w:pPr>
        <w:pStyle w:val="Heading3"/>
      </w:pPr>
      <w:r>
        <w:t xml:space="preserve">6.4 Miktion</w:t>
      </w:r>
    </w:p>
    <w:p>
      <w:pPr>
        <w:pStyle w:val="Compact"/>
        <w:numPr>
          <w:ilvl w:val="0"/>
          <w:numId w:val="1013"/>
        </w:numPr>
      </w:pPr>
      <w:r>
        <w:t xml:space="preserve">Dysurie</w:t>
      </w:r>
    </w:p>
    <w:p>
      <w:pPr>
        <w:pStyle w:val="Compact"/>
        <w:numPr>
          <w:ilvl w:val="0"/>
          <w:numId w:val="1013"/>
        </w:numPr>
      </w:pPr>
      <w:r>
        <w:t xml:space="preserve">Pollakisurie</w:t>
      </w:r>
    </w:p>
    <w:p>
      <w:pPr>
        <w:pStyle w:val="Compact"/>
        <w:numPr>
          <w:ilvl w:val="0"/>
          <w:numId w:val="1013"/>
        </w:numPr>
      </w:pPr>
      <w:r>
        <w:t xml:space="preserve">Nykturie</w:t>
      </w:r>
    </w:p>
    <w:p>
      <w:pPr>
        <w:pStyle w:val="Compact"/>
        <w:numPr>
          <w:ilvl w:val="0"/>
          <w:numId w:val="1013"/>
        </w:numPr>
      </w:pPr>
      <w:r>
        <w:t xml:space="preserve">Urinfarbe</w:t>
      </w:r>
    </w:p>
    <w:bookmarkEnd w:id="37"/>
    <w:bookmarkStart w:id="38" w:name="schlaf"/>
    <w:p>
      <w:pPr>
        <w:pStyle w:val="Heading3"/>
      </w:pPr>
      <w:r>
        <w:t xml:space="preserve">6.5 Schlaf</w:t>
      </w:r>
    </w:p>
    <w:p>
      <w:pPr>
        <w:pStyle w:val="Compact"/>
        <w:numPr>
          <w:ilvl w:val="0"/>
          <w:numId w:val="1014"/>
        </w:numPr>
      </w:pPr>
      <w:r>
        <w:t xml:space="preserve">Schlafqualität</w:t>
      </w:r>
    </w:p>
    <w:p>
      <w:pPr>
        <w:pStyle w:val="Compact"/>
        <w:numPr>
          <w:ilvl w:val="0"/>
          <w:numId w:val="1014"/>
        </w:numPr>
      </w:pPr>
      <w:r>
        <w:t xml:space="preserve">Tagesmüdigkeit</w:t>
      </w:r>
    </w:p>
    <w:bookmarkEnd w:id="38"/>
    <w:bookmarkStart w:id="39" w:name="gynäkologische-anamnese-falls-zutreffend"/>
    <w:p>
      <w:pPr>
        <w:pStyle w:val="Heading3"/>
      </w:pPr>
      <w:r>
        <w:t xml:space="preserve">6.6 Gynäkologische Anamnese (falls zutreffend)</w:t>
      </w:r>
    </w:p>
    <w:p>
      <w:pPr>
        <w:pStyle w:val="Compact"/>
        <w:numPr>
          <w:ilvl w:val="0"/>
          <w:numId w:val="1015"/>
        </w:numPr>
      </w:pPr>
      <w:r>
        <w:t xml:space="preserve">letzte Regelblutung</w:t>
      </w:r>
    </w:p>
    <w:p>
      <w:pPr>
        <w:pStyle w:val="Compact"/>
        <w:numPr>
          <w:ilvl w:val="0"/>
          <w:numId w:val="1015"/>
        </w:numPr>
      </w:pPr>
      <w:r>
        <w:t xml:space="preserve">Zyklus</w:t>
      </w:r>
    </w:p>
    <w:p>
      <w:pPr>
        <w:pStyle w:val="Compact"/>
        <w:numPr>
          <w:ilvl w:val="0"/>
          <w:numId w:val="1015"/>
        </w:numPr>
      </w:pPr>
      <w:r>
        <w:t xml:space="preserve">Schwangerschaften</w:t>
      </w:r>
    </w:p>
    <w:p>
      <w:pPr>
        <w:pStyle w:val="Compact"/>
        <w:numPr>
          <w:ilvl w:val="0"/>
          <w:numId w:val="1015"/>
        </w:numPr>
      </w:pPr>
      <w:r>
        <w:t xml:space="preserve">Verhütung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genussmittelanamnese-noxen"/>
    <w:p>
      <w:pPr>
        <w:pStyle w:val="Heading2"/>
      </w:pPr>
      <w:r>
        <w:t xml:space="preserve">7) Genussmittelanamnese (Noxen)</w:t>
      </w:r>
    </w:p>
    <w:p>
      <w:pPr>
        <w:pStyle w:val="FirstParagraph"/>
      </w:pPr>
      <w:r>
        <w:t xml:space="preserve">Neutral, mengenbasiert:</w:t>
      </w:r>
    </w:p>
    <w:bookmarkStart w:id="41" w:name="rauchen"/>
    <w:p>
      <w:pPr>
        <w:pStyle w:val="Heading3"/>
      </w:pPr>
      <w:r>
        <w:t xml:space="preserve">7.1 Rauchen</w:t>
      </w:r>
    </w:p>
    <w:p>
      <w:pPr>
        <w:pStyle w:val="Compact"/>
        <w:numPr>
          <w:ilvl w:val="0"/>
          <w:numId w:val="1016"/>
        </w:numPr>
      </w:pPr>
      <w:r>
        <w:t xml:space="preserve">Zigaretten/Tag</w:t>
      </w:r>
    </w:p>
    <w:p>
      <w:pPr>
        <w:pStyle w:val="Compact"/>
        <w:numPr>
          <w:ilvl w:val="0"/>
          <w:numId w:val="1016"/>
        </w:numPr>
      </w:pPr>
      <w:r>
        <w:t xml:space="preserve">Dauer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Pack‑Years (automatisch berechnet)</w:t>
      </w:r>
    </w:p>
    <w:bookmarkEnd w:id="41"/>
    <w:bookmarkStart w:id="42" w:name="alkohol"/>
    <w:p>
      <w:pPr>
        <w:pStyle w:val="Heading3"/>
      </w:pPr>
      <w:r>
        <w:t xml:space="preserve">7.2 Alkohol</w:t>
      </w:r>
    </w:p>
    <w:p>
      <w:pPr>
        <w:pStyle w:val="Compact"/>
        <w:numPr>
          <w:ilvl w:val="0"/>
          <w:numId w:val="1017"/>
        </w:numPr>
      </w:pPr>
      <w:r>
        <w:t xml:space="preserve">Häufigkeit</w:t>
      </w:r>
    </w:p>
    <w:p>
      <w:pPr>
        <w:pStyle w:val="Compact"/>
        <w:numPr>
          <w:ilvl w:val="0"/>
          <w:numId w:val="1017"/>
        </w:numPr>
      </w:pPr>
      <w:r>
        <w:t xml:space="preserve">Art</w:t>
      </w:r>
    </w:p>
    <w:p>
      <w:pPr>
        <w:pStyle w:val="Compact"/>
        <w:numPr>
          <w:ilvl w:val="0"/>
          <w:numId w:val="1017"/>
        </w:numPr>
      </w:pPr>
      <w:r>
        <w:t xml:space="preserve">Menge</w:t>
      </w:r>
    </w:p>
    <w:bookmarkEnd w:id="42"/>
    <w:bookmarkStart w:id="43" w:name="drogen"/>
    <w:p>
      <w:pPr>
        <w:pStyle w:val="Heading3"/>
      </w:pPr>
      <w:r>
        <w:t xml:space="preserve">7.3 Drogen</w:t>
      </w:r>
    </w:p>
    <w:p>
      <w:pPr>
        <w:pStyle w:val="Compact"/>
        <w:numPr>
          <w:ilvl w:val="0"/>
          <w:numId w:val="1018"/>
        </w:numPr>
      </w:pPr>
      <w:r>
        <w:t xml:space="preserve">Cannabis</w:t>
      </w:r>
    </w:p>
    <w:p>
      <w:pPr>
        <w:pStyle w:val="Compact"/>
        <w:numPr>
          <w:ilvl w:val="0"/>
          <w:numId w:val="1018"/>
        </w:numPr>
      </w:pPr>
      <w:r>
        <w:t xml:space="preserve">Stimulanzien</w:t>
      </w:r>
    </w:p>
    <w:p>
      <w:pPr>
        <w:pStyle w:val="Compact"/>
        <w:numPr>
          <w:ilvl w:val="0"/>
          <w:numId w:val="1018"/>
        </w:numPr>
      </w:pPr>
      <w:r>
        <w:t xml:space="preserve">andere Substanzen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amilienanamnese"/>
    <w:p>
      <w:pPr>
        <w:pStyle w:val="Heading2"/>
      </w:pPr>
      <w:r>
        <w:t xml:space="preserve">8) Familienanamnese</w:t>
      </w:r>
    </w:p>
    <w:p>
      <w:pPr>
        <w:pStyle w:val="Compact"/>
        <w:numPr>
          <w:ilvl w:val="0"/>
          <w:numId w:val="1019"/>
        </w:numPr>
      </w:pPr>
      <w:r>
        <w:t xml:space="preserve">Eltern / Geschwister: lebend / verstorben (Ursache)</w:t>
      </w:r>
    </w:p>
    <w:p>
      <w:pPr>
        <w:pStyle w:val="Compact"/>
        <w:numPr>
          <w:ilvl w:val="0"/>
          <w:numId w:val="1019"/>
        </w:numPr>
      </w:pPr>
      <w:r>
        <w:t xml:space="preserve">familiäre Häufung von:</w:t>
      </w:r>
    </w:p>
    <w:p>
      <w:pPr>
        <w:pStyle w:val="Compact"/>
        <w:numPr>
          <w:ilvl w:val="1"/>
          <w:numId w:val="1020"/>
        </w:numPr>
      </w:pPr>
      <w:r>
        <w:t xml:space="preserve">Herzinfarkt (&lt;60 J.)</w:t>
      </w:r>
    </w:p>
    <w:p>
      <w:pPr>
        <w:pStyle w:val="Compact"/>
        <w:numPr>
          <w:ilvl w:val="1"/>
          <w:numId w:val="1020"/>
        </w:numPr>
      </w:pPr>
      <w:r>
        <w:t xml:space="preserve">Schlaganfall</w:t>
      </w:r>
    </w:p>
    <w:p>
      <w:pPr>
        <w:pStyle w:val="Compact"/>
        <w:numPr>
          <w:ilvl w:val="1"/>
          <w:numId w:val="1020"/>
        </w:numPr>
      </w:pPr>
      <w:r>
        <w:t xml:space="preserve">Krebs (Darm, Brust, Prostata)</w:t>
      </w:r>
    </w:p>
    <w:p>
      <w:pPr>
        <w:pStyle w:val="Compact"/>
        <w:numPr>
          <w:ilvl w:val="1"/>
          <w:numId w:val="1020"/>
        </w:numPr>
      </w:pPr>
      <w:r>
        <w:t xml:space="preserve">Diabetes</w:t>
      </w:r>
    </w:p>
    <w:p>
      <w:pPr>
        <w:pStyle w:val="Compact"/>
        <w:numPr>
          <w:ilvl w:val="1"/>
          <w:numId w:val="1020"/>
        </w:numPr>
      </w:pPr>
      <w:r>
        <w:t xml:space="preserve">psychischen Erkrankungen</w:t>
      </w:r>
    </w:p>
    <w:p>
      <w:r>
        <w:pict>
          <v:rect style="width:0;height:1.5pt" o:hralign="center" o:hrstd="t" o:hr="t"/>
        </w:pict>
      </w:r>
    </w:p>
    <w:bookmarkEnd w:id="45"/>
    <w:bookmarkStart w:id="46" w:name="sozialanamnese"/>
    <w:p>
      <w:pPr>
        <w:pStyle w:val="Heading2"/>
      </w:pPr>
      <w:r>
        <w:t xml:space="preserve">9) Sozialanamnese</w:t>
      </w:r>
    </w:p>
    <w:p>
      <w:pPr>
        <w:pStyle w:val="Compact"/>
        <w:numPr>
          <w:ilvl w:val="0"/>
          <w:numId w:val="1021"/>
        </w:numPr>
      </w:pPr>
      <w:r>
        <w:t xml:space="preserve">Beruf &amp; Belastungen</w:t>
      </w:r>
    </w:p>
    <w:p>
      <w:pPr>
        <w:pStyle w:val="Compact"/>
        <w:numPr>
          <w:ilvl w:val="0"/>
          <w:numId w:val="1021"/>
        </w:numPr>
      </w:pPr>
      <w:r>
        <w:t xml:space="preserve">Wohnsituation (allein, Treppen, Aufzug)</w:t>
      </w:r>
    </w:p>
    <w:p>
      <w:pPr>
        <w:pStyle w:val="Compact"/>
        <w:numPr>
          <w:ilvl w:val="0"/>
          <w:numId w:val="1021"/>
        </w:numPr>
      </w:pPr>
      <w:r>
        <w:t xml:space="preserve">Unterstützung (Angehörige, Pflege)</w:t>
      </w:r>
    </w:p>
    <w:p>
      <w:pPr>
        <w:pStyle w:val="FirstParagraph"/>
      </w:pPr>
      <w:r>
        <w:t xml:space="preserve">➡️ relevant für</w:t>
      </w:r>
      <w:r>
        <w:t xml:space="preserve"> </w:t>
      </w:r>
      <w:r>
        <w:rPr>
          <w:b/>
          <w:bCs/>
        </w:rPr>
        <w:t xml:space="preserve">Versorgungs‑ &amp; Entlassplanung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systemanamnese-review-of-systems-ros"/>
    <w:p>
      <w:pPr>
        <w:pStyle w:val="Heading2"/>
      </w:pPr>
      <w:r>
        <w:t xml:space="preserve">10) Systemanamnese (Review of Systems – ROS)</w:t>
      </w:r>
    </w:p>
    <w:p>
      <w:pPr>
        <w:pStyle w:val="FirstParagraph"/>
      </w:pPr>
      <w:r>
        <w:t xml:space="preserve">Kurze Abfrage „Kopf bis Fuß“:</w:t>
      </w:r>
      <w:r>
        <w:t xml:space="preserve"> </w:t>
      </w:r>
      <w:r>
        <w:t xml:space="preserve">- Kopf/Hals: Kopfschmerz, Schwindel, Sehen/Hören</w:t>
      </w:r>
      <w:r>
        <w:t xml:space="preserve"> </w:t>
      </w:r>
      <w:r>
        <w:t xml:space="preserve">- Thorax: Husten, Auswurf, Palpitationen</w:t>
      </w:r>
      <w:r>
        <w:t xml:space="preserve"> </w:t>
      </w:r>
      <w:r>
        <w:t xml:space="preserve">- Abdomen: Sodbrennen, Blähungen</w:t>
      </w:r>
      <w:r>
        <w:t xml:space="preserve"> </w:t>
      </w:r>
      <w:r>
        <w:t xml:space="preserve">- Bewegungsapparat: Gelenk‑/Rückenschmerzen</w:t>
      </w:r>
      <w:r>
        <w:t xml:space="preserve"> </w:t>
      </w:r>
      <w:r>
        <w:t xml:space="preserve">- Haut: Ausschläge, Juckreiz</w:t>
      </w:r>
    </w:p>
    <w:p>
      <w:r>
        <w:pict>
          <v:rect style="width:0;height:1.5pt" o:hralign="center" o:hrstd="t" o:hr="t"/>
        </w:pict>
      </w:r>
    </w:p>
    <w:bookmarkEnd w:id="47"/>
    <w:bookmarkStart w:id="50" w:name="output-integration"/>
    <w:p>
      <w:pPr>
        <w:pStyle w:val="Heading2"/>
      </w:pPr>
      <w:r>
        <w:t xml:space="preserve">11) Output &amp; Integration</w:t>
      </w:r>
    </w:p>
    <w:bookmarkStart w:id="48" w:name="ärztlich-sichtbar"/>
    <w:p>
      <w:pPr>
        <w:pStyle w:val="Heading3"/>
      </w:pPr>
      <w:r>
        <w:t xml:space="preserve">Ärztlich sichtbar</w:t>
      </w:r>
    </w:p>
    <w:p>
      <w:pPr>
        <w:pStyle w:val="Compact"/>
        <w:numPr>
          <w:ilvl w:val="0"/>
          <w:numId w:val="1022"/>
        </w:numPr>
      </w:pPr>
      <w:r>
        <w:t xml:space="preserve">strukturierte Hintergrundanamnese</w:t>
      </w:r>
    </w:p>
    <w:p>
      <w:pPr>
        <w:pStyle w:val="Compact"/>
        <w:numPr>
          <w:ilvl w:val="0"/>
          <w:numId w:val="1022"/>
        </w:numPr>
      </w:pPr>
      <w:r>
        <w:t xml:space="preserve">zusammenfassender Textblock</w:t>
      </w:r>
    </w:p>
    <w:p>
      <w:pPr>
        <w:pStyle w:val="Compact"/>
        <w:numPr>
          <w:ilvl w:val="0"/>
          <w:numId w:val="1022"/>
        </w:numPr>
      </w:pPr>
      <w:r>
        <w:t xml:space="preserve">Red‑Flag‑Hinweise</w:t>
      </w:r>
    </w:p>
    <w:bookmarkEnd w:id="48"/>
    <w:bookmarkStart w:id="49" w:name="systemintern"/>
    <w:p>
      <w:pPr>
        <w:pStyle w:val="Heading3"/>
      </w:pPr>
      <w:r>
        <w:t xml:space="preserve">Systemintern</w:t>
      </w:r>
    </w:p>
    <w:p>
      <w:pPr>
        <w:pStyle w:val="Compact"/>
        <w:numPr>
          <w:ilvl w:val="0"/>
          <w:numId w:val="1023"/>
        </w:numPr>
      </w:pPr>
      <w:r>
        <w:t xml:space="preserve">EvidenceItems pro Abschnitt</w:t>
      </w:r>
    </w:p>
    <w:p>
      <w:pPr>
        <w:pStyle w:val="Compact"/>
        <w:numPr>
          <w:ilvl w:val="0"/>
          <w:numId w:val="1023"/>
        </w:numPr>
      </w:pPr>
      <w:r>
        <w:t xml:space="preserve">Hypothesen‑Support</w:t>
      </w:r>
    </w:p>
    <w:p>
      <w:pPr>
        <w:pStyle w:val="Compact"/>
        <w:numPr>
          <w:ilvl w:val="0"/>
          <w:numId w:val="1023"/>
        </w:numPr>
      </w:pPr>
      <w:r>
        <w:t xml:space="preserve">Quality‑ &amp; Completeness‑Score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icherheits-qualitätsmechanismen"/>
    <w:p>
      <w:pPr>
        <w:pStyle w:val="Heading2"/>
      </w:pPr>
      <w:r>
        <w:t xml:space="preserve">12) Sicherheits‑ &amp; Qualitätsmechanismen</w:t>
      </w:r>
    </w:p>
    <w:p>
      <w:pPr>
        <w:pStyle w:val="Compact"/>
        <w:numPr>
          <w:ilvl w:val="0"/>
          <w:numId w:val="1024"/>
        </w:numPr>
      </w:pPr>
      <w:r>
        <w:t xml:space="preserve">Pflichtfelder bei Hochrisiko‑Konstellationen</w:t>
      </w:r>
    </w:p>
    <w:p>
      <w:pPr>
        <w:pStyle w:val="Compact"/>
        <w:numPr>
          <w:ilvl w:val="0"/>
          <w:numId w:val="1024"/>
        </w:numPr>
      </w:pPr>
      <w:r>
        <w:t xml:space="preserve">adaptive Tiefe (z. B. Geriatrie)</w:t>
      </w:r>
    </w:p>
    <w:p>
      <w:pPr>
        <w:pStyle w:val="Compact"/>
        <w:numPr>
          <w:ilvl w:val="0"/>
          <w:numId w:val="1024"/>
        </w:numPr>
      </w:pPr>
      <w:r>
        <w:t xml:space="preserve">Teach‑Back‑Zusammenfassung am Ende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Unter‑Canvas v1 – Fundament für sichere, ganzheitliche Anamnese</w:t>
      </w:r>
      <w:r>
        <w:br/>
      </w:r>
      <w:r>
        <w:rPr>
          <w:b/>
          <w:bCs/>
        </w:rPr>
        <w:t xml:space="preserve">Beziehung:</w:t>
      </w:r>
      <w:r>
        <w:t xml:space="preserve"> </w:t>
      </w:r>
      <w:r>
        <w:t xml:space="preserve">Ergänzt 10‑W‑Unter‑Canvas, Canvas 2 (Intake) &amp; Canvas 3 (Reasoning)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2026-02-09T12:17:02Z</dcterms:created>
  <dcterms:modified xsi:type="dcterms:W3CDTF">2026-02-09T12:17:02Z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