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bf21aad5807042587cfae205b2c257c19cc3e9"/>
    <w:p>
      <w:pPr>
        <w:pStyle w:val="Heading1"/>
      </w:pPr>
      <w:r>
        <w:t xml:space="preserve">🩺 CRE ANAMNESE-UNTERCANVAS – SYMPTOMBEZOGENE TIEFE &amp; 10‑W‑LOGIK (CANVAS v1)</w:t>
      </w:r>
    </w:p>
    <w:p>
      <w:pPr>
        <w:pStyle w:val="BlockText"/>
      </w:pPr>
      <w:r>
        <w:t xml:space="preserve">Zweck dieses Unter-Canvas:</w:t>
      </w:r>
      <w:r>
        <w:t xml:space="preserve"> </w:t>
      </w:r>
      <w:r>
        <w:rPr>
          <w:b/>
          <w:bCs/>
        </w:rPr>
        <w:t xml:space="preserve">maximale Sicherheit, Vollständigkeit und Adaptivität</w:t>
      </w:r>
      <w:r>
        <w:t xml:space="preserve"> </w:t>
      </w:r>
      <w:r>
        <w:t xml:space="preserve">der symptombezogenen Anamnese innerhalb der CRE.</w:t>
      </w:r>
      <w:r>
        <w:br/>
      </w:r>
      <w:r>
        <w:t xml:space="preserve">Fokus: strukturierte Propädeutik, variable Tiefe, Red-Flag-Sensitivität, internationale Anschlussfähigkeit (OPQRST).</w:t>
      </w:r>
    </w:p>
    <w:p>
      <w:r>
        <w:pict>
          <v:rect style="width:0;height:1.5pt" o:hralign="center" o:hrstd="t" o:hr="t"/>
        </w:pict>
      </w:r>
    </w:p>
    <w:bookmarkStart w:id="20" w:name="X525d95ab7ca38cc4afe665515996576a6add745"/>
    <w:p>
      <w:pPr>
        <w:pStyle w:val="Heading2"/>
      </w:pPr>
      <w:r>
        <w:t xml:space="preserve">1) Medizinisches Ziel der symptombezogenen Anamnese</w:t>
      </w:r>
    </w:p>
    <w:p>
      <w:pPr>
        <w:pStyle w:val="FirstParagraph"/>
      </w:pPr>
      <w:r>
        <w:t xml:space="preserve">Die symptombezogene Anamnese soll:</w:t>
      </w:r>
      <w:r>
        <w:t xml:space="preserve"> </w:t>
      </w:r>
      <w:r>
        <w:t xml:space="preserve">- das</w:t>
      </w:r>
      <w:r>
        <w:t xml:space="preserve"> </w:t>
      </w:r>
      <w:r>
        <w:rPr>
          <w:b/>
          <w:bCs/>
        </w:rPr>
        <w:t xml:space="preserve">Leitsymptom vollständig, reproduzierbar und sicher</w:t>
      </w:r>
      <w:r>
        <w:t xml:space="preserve"> </w:t>
      </w:r>
      <w:r>
        <w:t xml:space="preserve">erfassen</w:t>
      </w:r>
      <w:r>
        <w:t xml:space="preserve"> </w:t>
      </w:r>
      <w:r>
        <w:t xml:space="preserve">- relevante Red Flags frühzeitig sichtbar machen</w:t>
      </w:r>
      <w:r>
        <w:t xml:space="preserve"> </w:t>
      </w:r>
      <w:r>
        <w:t xml:space="preserve">- eine</w:t>
      </w:r>
      <w:r>
        <w:t xml:space="preserve"> </w:t>
      </w:r>
      <w:r>
        <w:rPr>
          <w:b/>
          <w:bCs/>
        </w:rPr>
        <w:t xml:space="preserve">differenzialdiagnostische Einordnung vorbereiten</w:t>
      </w:r>
      <w:r>
        <w:t xml:space="preserve">, ohne Diagnosen zu stellen</w:t>
      </w:r>
      <w:r>
        <w:t xml:space="preserve"> </w:t>
      </w:r>
      <w:r>
        <w:t xml:space="preserve">- ärztliche Denkprozesse antizipieren</w:t>
      </w:r>
    </w:p>
    <w:p>
      <w:pPr>
        <w:pStyle w:val="BlockText"/>
      </w:pPr>
      <w:r>
        <w:t xml:space="preserve">Leitprinzip:</w:t>
      </w:r>
      <w:r>
        <w:t xml:space="preserve"> </w:t>
      </w:r>
      <w:r>
        <w:rPr>
          <w:i/>
          <w:iCs/>
        </w:rPr>
        <w:t xml:space="preserve">Lieber einmal zu viel strukturiert fragen als einmal zu wenig.</w:t>
      </w:r>
    </w:p>
    <w:p>
      <w:r>
        <w:pict>
          <v:rect style="width:0;height:1.5pt" o:hralign="center" o:hrstd="t" o:hr="t"/>
        </w:pict>
      </w:r>
    </w:p>
    <w:bookmarkEnd w:id="20"/>
    <w:bookmarkStart w:id="22" w:name="Xf15fd8a17b5265b4ab104f49da5d5fbdda68f4e"/>
    <w:p>
      <w:pPr>
        <w:pStyle w:val="Heading2"/>
      </w:pPr>
      <w:r>
        <w:t xml:space="preserve">2) Die 10‑W‑Logik als Grundgerüst (Pflichtmodul)</w:t>
      </w:r>
    </w:p>
    <w:p>
      <w:pPr>
        <w:pStyle w:val="FirstParagraph"/>
      </w:pPr>
      <w:r>
        <w:t xml:space="preserve">Die CRE nutzt die</w:t>
      </w:r>
      <w:r>
        <w:t xml:space="preserve"> </w:t>
      </w:r>
      <w:r>
        <w:rPr>
          <w:b/>
          <w:bCs/>
        </w:rPr>
        <w:t xml:space="preserve">10‑W‑Fragen</w:t>
      </w:r>
      <w:r>
        <w:t xml:space="preserve"> </w:t>
      </w:r>
      <w:r>
        <w:t xml:space="preserve">als universelles, domänenneutrales Fundament.</w:t>
      </w:r>
      <w:r>
        <w:t xml:space="preserve"> </w:t>
      </w:r>
      <w:r>
        <w:t xml:space="preserve">Sie sind</w:t>
      </w:r>
      <w:r>
        <w:t xml:space="preserve"> </w:t>
      </w:r>
      <w:r>
        <w:rPr>
          <w:b/>
          <w:bCs/>
        </w:rPr>
        <w:t xml:space="preserve">immer aktiv</w:t>
      </w:r>
      <w:r>
        <w:t xml:space="preserve">, unabhängig von Fachrichtung.</w:t>
      </w:r>
    </w:p>
    <w:bookmarkStart w:id="21" w:name="übersicht-10wfragen"/>
    <w:p>
      <w:pPr>
        <w:pStyle w:val="Heading3"/>
      </w:pPr>
      <w:r>
        <w:t xml:space="preserve">2.1 Übersicht: 10‑W‑Fragen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Was?</w:t>
      </w:r>
      <w:r>
        <w:t xml:space="preserve"> </w:t>
      </w:r>
      <w:r>
        <w:t xml:space="preserve">– Art der Beschwerde (Leitsymptom)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Wo?</w:t>
      </w:r>
      <w:r>
        <w:t xml:space="preserve"> </w:t>
      </w:r>
      <w:r>
        <w:t xml:space="preserve">– Lokalisation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Wann?</w:t>
      </w:r>
      <w:r>
        <w:t xml:space="preserve"> </w:t>
      </w:r>
      <w:r>
        <w:t xml:space="preserve">– Beginn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Wie?</w:t>
      </w:r>
      <w:r>
        <w:t xml:space="preserve"> </w:t>
      </w:r>
      <w:r>
        <w:t xml:space="preserve">– Charakter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Wie stark?</w:t>
      </w:r>
      <w:r>
        <w:t xml:space="preserve"> </w:t>
      </w:r>
      <w:r>
        <w:t xml:space="preserve">– Intensität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Wohin?</w:t>
      </w:r>
      <w:r>
        <w:t xml:space="preserve"> </w:t>
      </w:r>
      <w:r>
        <w:t xml:space="preserve">– Ausstrahlung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Wie lange?</w:t>
      </w:r>
      <w:r>
        <w:t xml:space="preserve"> </w:t>
      </w:r>
      <w:r>
        <w:t xml:space="preserve">– Dauer / Verlauf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Wodurch?</w:t>
      </w:r>
      <w:r>
        <w:t xml:space="preserve"> </w:t>
      </w:r>
      <w:r>
        <w:t xml:space="preserve">– Auslöser / Linderung / Verstärkung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Welche?</w:t>
      </w:r>
      <w:r>
        <w:t xml:space="preserve"> </w:t>
      </w:r>
      <w:r>
        <w:t xml:space="preserve">– Begleitsymptome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Warum?</w:t>
      </w:r>
      <w:r>
        <w:t xml:space="preserve"> </w:t>
      </w:r>
      <w:r>
        <w:t xml:space="preserve">– Patientenvorstellung / Anlass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pqrst-mapping-intern-standardisiert"/>
    <w:p>
      <w:pPr>
        <w:pStyle w:val="Heading2"/>
      </w:pPr>
      <w:r>
        <w:t xml:space="preserve">3) OPQRST-Mapping (intern, standardisiert)</w:t>
      </w:r>
    </w:p>
    <w:p>
      <w:pPr>
        <w:pStyle w:val="FirstParagraph"/>
      </w:pPr>
      <w:r>
        <w:t xml:space="preserve">Die CRE mappt jede 10‑W‑Antwort</w:t>
      </w:r>
      <w:r>
        <w:t xml:space="preserve"> </w:t>
      </w:r>
      <w:r>
        <w:rPr>
          <w:b/>
          <w:bCs/>
        </w:rPr>
        <w:t xml:space="preserve">intern automatisch</w:t>
      </w:r>
      <w:r>
        <w:t xml:space="preserve"> </w:t>
      </w:r>
      <w:r>
        <w:t xml:space="preserve">auf OPQRST‑Felder: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OPQRST</w:t>
            </w:r>
          </w:p>
        </w:tc>
        <w:tc>
          <w:tcPr/>
          <w:p>
            <w:pPr>
              <w:pStyle w:val="Compact"/>
            </w:pPr>
            <w:r>
              <w:t xml:space="preserve">Inhalt</w:t>
            </w:r>
          </w:p>
        </w:tc>
        <w:tc>
          <w:tcPr/>
          <w:p>
            <w:pPr>
              <w:pStyle w:val="Compact"/>
            </w:pPr>
            <w:r>
              <w:t xml:space="preserve">Entspr.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Onset</w:t>
            </w:r>
          </w:p>
        </w:tc>
        <w:tc>
          <w:tcPr/>
          <w:p>
            <w:pPr>
              <w:pStyle w:val="Compact"/>
            </w:pPr>
            <w:r>
              <w:t xml:space="preserve">Wann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Provocation/Palliation</w:t>
            </w:r>
          </w:p>
        </w:tc>
        <w:tc>
          <w:tcPr/>
          <w:p>
            <w:pPr>
              <w:pStyle w:val="Compact"/>
            </w:pPr>
            <w:r>
              <w:t xml:space="preserve">Wodurch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Wie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Region/Radiation</w:t>
            </w:r>
          </w:p>
        </w:tc>
        <w:tc>
          <w:tcPr/>
          <w:p>
            <w:pPr>
              <w:pStyle w:val="Compact"/>
            </w:pPr>
            <w:r>
              <w:t xml:space="preserve">Wo / Wohin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Wie stark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Wie lange</w:t>
            </w:r>
          </w:p>
        </w:tc>
      </w:tr>
    </w:tbl>
    <w:p>
      <w:pPr>
        <w:pStyle w:val="BodyText"/>
      </w:pPr>
      <w:r>
        <w:t xml:space="preserve">➡️</w:t>
      </w:r>
      <w:r>
        <w:t xml:space="preserve"> </w:t>
      </w:r>
      <w:r>
        <w:rPr>
          <w:b/>
          <w:bCs/>
        </w:rPr>
        <w:t xml:space="preserve">Vorteil:</w:t>
      </w:r>
      <w:r>
        <w:t xml:space="preserve"> </w:t>
      </w:r>
      <w:r>
        <w:t xml:space="preserve">internationale Vergleichbarkeit + strukturierte Datenbasis</w:t>
      </w:r>
    </w:p>
    <w:p>
      <w:r>
        <w:pict>
          <v:rect style="width:0;height:1.5pt" o:hralign="center" o:hrstd="t" o:hr="t"/>
        </w:pict>
      </w:r>
    </w:p>
    <w:bookmarkEnd w:id="23"/>
    <w:bookmarkStart w:id="28" w:name="Xd71f4421a8e3f367ceb36f1c88c34a72e515c4a"/>
    <w:p>
      <w:pPr>
        <w:pStyle w:val="Heading2"/>
      </w:pPr>
      <w:r>
        <w:t xml:space="preserve">4) Einstellbare Anamnese-Tiefe (zentraler Sicherheitshebel)</w:t>
      </w:r>
    </w:p>
    <w:p>
      <w:pPr>
        <w:pStyle w:val="FirstParagraph"/>
      </w:pPr>
      <w:r>
        <w:t xml:space="preserve">Die CRE erlaubt eine</w:t>
      </w:r>
      <w:r>
        <w:t xml:space="preserve"> </w:t>
      </w:r>
      <w:r>
        <w:rPr>
          <w:b/>
          <w:bCs/>
        </w:rPr>
        <w:t xml:space="preserve">adaptive Tiefe</w:t>
      </w:r>
      <w:r>
        <w:t xml:space="preserve"> </w:t>
      </w:r>
      <w:r>
        <w:t xml:space="preserve">der Anamnese:</w:t>
      </w:r>
    </w:p>
    <w:bookmarkStart w:id="24" w:name="level-1-basis-triage-kurzintake"/>
    <w:p>
      <w:pPr>
        <w:pStyle w:val="Heading3"/>
      </w:pPr>
      <w:r>
        <w:t xml:space="preserve">🔹 Level 1 – Basis (Triage / Kurzintake)</w:t>
      </w:r>
    </w:p>
    <w:p>
      <w:pPr>
        <w:pStyle w:val="Compact"/>
        <w:numPr>
          <w:ilvl w:val="0"/>
          <w:numId w:val="1002"/>
        </w:numPr>
      </w:pPr>
      <w:r>
        <w:t xml:space="preserve">10‑W‑Fragen in Kurzform</w:t>
      </w:r>
    </w:p>
    <w:p>
      <w:pPr>
        <w:pStyle w:val="Compact"/>
        <w:numPr>
          <w:ilvl w:val="0"/>
          <w:numId w:val="1002"/>
        </w:numPr>
      </w:pPr>
      <w:r>
        <w:t xml:space="preserve">Fokus: Red Flags erkennen</w:t>
      </w:r>
    </w:p>
    <w:p>
      <w:pPr>
        <w:pStyle w:val="Compact"/>
        <w:numPr>
          <w:ilvl w:val="0"/>
          <w:numId w:val="1002"/>
        </w:numPr>
      </w:pPr>
      <w:r>
        <w:t xml:space="preserve">Einsatz: Notfall‑Triage, Vorab‑Check</w:t>
      </w:r>
    </w:p>
    <w:bookmarkEnd w:id="24"/>
    <w:bookmarkStart w:id="25" w:name="level-2-standard-default"/>
    <w:p>
      <w:pPr>
        <w:pStyle w:val="Heading3"/>
      </w:pPr>
      <w:r>
        <w:t xml:space="preserve">🔹 Level 2 – Standard (Default)</w:t>
      </w:r>
    </w:p>
    <w:p>
      <w:pPr>
        <w:pStyle w:val="Compact"/>
        <w:numPr>
          <w:ilvl w:val="0"/>
          <w:numId w:val="1003"/>
        </w:numPr>
      </w:pPr>
      <w:r>
        <w:t xml:space="preserve">vollständige 10‑W‑Erhebung</w:t>
      </w:r>
    </w:p>
    <w:p>
      <w:pPr>
        <w:pStyle w:val="Compact"/>
        <w:numPr>
          <w:ilvl w:val="0"/>
          <w:numId w:val="1003"/>
        </w:numPr>
      </w:pPr>
      <w:r>
        <w:t xml:space="preserve">adaptive Rückfragen</w:t>
      </w:r>
    </w:p>
    <w:p>
      <w:pPr>
        <w:pStyle w:val="Compact"/>
        <w:numPr>
          <w:ilvl w:val="0"/>
          <w:numId w:val="1003"/>
        </w:numPr>
      </w:pPr>
      <w:r>
        <w:t xml:space="preserve">Einsatz: ambulante Erstvorstellung</w:t>
      </w:r>
    </w:p>
    <w:bookmarkEnd w:id="25"/>
    <w:bookmarkStart w:id="26" w:name="level-3-vertieft-sicherheitsmodus"/>
    <w:p>
      <w:pPr>
        <w:pStyle w:val="Heading3"/>
      </w:pPr>
      <w:r>
        <w:t xml:space="preserve">🔹 Level 3 – Vertieft (Sicherheitsmodus)</w:t>
      </w:r>
    </w:p>
    <w:p>
      <w:pPr>
        <w:pStyle w:val="Compact"/>
        <w:numPr>
          <w:ilvl w:val="0"/>
          <w:numId w:val="1004"/>
        </w:numPr>
      </w:pPr>
      <w:r>
        <w:t xml:space="preserve">zusätzliche Präzisierungen</w:t>
      </w:r>
    </w:p>
    <w:p>
      <w:pPr>
        <w:pStyle w:val="Compact"/>
        <w:numPr>
          <w:ilvl w:val="0"/>
          <w:numId w:val="1004"/>
        </w:numPr>
      </w:pPr>
      <w:r>
        <w:t xml:space="preserve">zeitliche Feinauflösung</w:t>
      </w:r>
    </w:p>
    <w:p>
      <w:pPr>
        <w:pStyle w:val="Compact"/>
        <w:numPr>
          <w:ilvl w:val="0"/>
          <w:numId w:val="1004"/>
        </w:numPr>
      </w:pPr>
      <w:r>
        <w:t xml:space="preserve">explizite Negativa</w:t>
      </w:r>
    </w:p>
    <w:p>
      <w:pPr>
        <w:pStyle w:val="Compact"/>
        <w:numPr>
          <w:ilvl w:val="0"/>
          <w:numId w:val="1004"/>
        </w:numPr>
      </w:pPr>
      <w:r>
        <w:t xml:space="preserve">Einsatz: unklare Symptome, Risikopatienten</w:t>
      </w:r>
    </w:p>
    <w:bookmarkEnd w:id="26"/>
    <w:bookmarkStart w:id="27" w:name="level-4-expertenmodus"/>
    <w:p>
      <w:pPr>
        <w:pStyle w:val="Heading3"/>
      </w:pPr>
      <w:r>
        <w:t xml:space="preserve">🔹 Level 4 – Expertenmodus</w:t>
      </w:r>
    </w:p>
    <w:p>
      <w:pPr>
        <w:pStyle w:val="Compact"/>
        <w:numPr>
          <w:ilvl w:val="0"/>
          <w:numId w:val="1005"/>
        </w:numPr>
      </w:pPr>
      <w:r>
        <w:t xml:space="preserve">differentialdiagnostisch fokussiert</w:t>
      </w:r>
    </w:p>
    <w:p>
      <w:pPr>
        <w:pStyle w:val="Compact"/>
        <w:numPr>
          <w:ilvl w:val="0"/>
          <w:numId w:val="1005"/>
        </w:numPr>
      </w:pPr>
      <w:r>
        <w:t xml:space="preserve">domänenspezifische Module (z. B. Kardio, Neuro)</w:t>
      </w:r>
    </w:p>
    <w:p>
      <w:pPr>
        <w:pStyle w:val="Compact"/>
        <w:numPr>
          <w:ilvl w:val="0"/>
          <w:numId w:val="1005"/>
        </w:numPr>
      </w:pPr>
      <w:r>
        <w:t xml:space="preserve">Einsatz: Spezialambulanzen, Studien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dflagintegration-in-der-10wlogik"/>
    <w:p>
      <w:pPr>
        <w:pStyle w:val="Heading2"/>
      </w:pPr>
      <w:r>
        <w:t xml:space="preserve">5) Red‑Flag‑Integration in der 10‑W‑Logik</w:t>
      </w:r>
    </w:p>
    <w:p>
      <w:pPr>
        <w:pStyle w:val="FirstParagraph"/>
      </w:pPr>
      <w:r>
        <w:t xml:space="preserve">Red Flags sind</w:t>
      </w:r>
      <w:r>
        <w:t xml:space="preserve"> </w:t>
      </w:r>
      <w:r>
        <w:rPr>
          <w:b/>
          <w:bCs/>
        </w:rPr>
        <w:t xml:space="preserve">direkt an einzelne W‑Fragen gekoppelt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W‑Frage</w:t>
            </w:r>
          </w:p>
        </w:tc>
        <w:tc>
          <w:tcPr/>
          <w:p>
            <w:pPr>
              <w:pStyle w:val="Compact"/>
            </w:pPr>
            <w:r>
              <w:t xml:space="preserve">Beispiel Red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neuartiger Thoraxschmerz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Wann</w:t>
            </w:r>
          </w:p>
        </w:tc>
        <w:tc>
          <w:tcPr/>
          <w:p>
            <w:pPr>
              <w:pStyle w:val="Compact"/>
            </w:pPr>
            <w:r>
              <w:t xml:space="preserve">plötzlicher Beginn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Wie stark</w:t>
            </w:r>
          </w:p>
        </w:tc>
        <w:tc>
          <w:tcPr/>
          <w:p>
            <w:pPr>
              <w:pStyle w:val="Compact"/>
            </w:pPr>
            <w:r>
              <w:t xml:space="preserve">Schmerz 9–10/10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Wohin</w:t>
            </w:r>
          </w:p>
        </w:tc>
        <w:tc>
          <w:tcPr/>
          <w:p>
            <w:pPr>
              <w:pStyle w:val="Compact"/>
            </w:pPr>
            <w:r>
              <w:t xml:space="preserve">Ausstrahlung Arm/Kiefer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Welche</w:t>
            </w:r>
          </w:p>
        </w:tc>
        <w:tc>
          <w:tcPr/>
          <w:p>
            <w:pPr>
              <w:pStyle w:val="Compact"/>
            </w:pPr>
            <w:r>
              <w:t xml:space="preserve">Dyspnoe, Synkope</w:t>
            </w:r>
          </w:p>
        </w:tc>
      </w:tr>
    </w:tbl>
    <w:p>
      <w:pPr>
        <w:pStyle w:val="BodyText"/>
      </w:pPr>
      <w:r>
        <w:t xml:space="preserve">➡️ Triggern sofort</w:t>
      </w:r>
      <w:r>
        <w:t xml:space="preserve"> </w:t>
      </w:r>
      <w:r>
        <w:rPr>
          <w:b/>
          <w:bCs/>
        </w:rPr>
        <w:t xml:space="preserve">Escalation Canvas (4)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explizite-negativa-safety-feature"/>
    <w:p>
      <w:pPr>
        <w:pStyle w:val="Heading2"/>
      </w:pPr>
      <w:r>
        <w:t xml:space="preserve">6) Explizite Negativa (Safety Feature)</w:t>
      </w:r>
    </w:p>
    <w:p>
      <w:pPr>
        <w:pStyle w:val="FirstParagraph"/>
      </w:pPr>
      <w:r>
        <w:t xml:space="preserve">Die CRE fragt aktiv nach</w:t>
      </w:r>
      <w:r>
        <w:t xml:space="preserve"> </w:t>
      </w:r>
      <w:r>
        <w:rPr>
          <w:b/>
          <w:bCs/>
        </w:rPr>
        <w:t xml:space="preserve">relevanten Negativa</w:t>
      </w:r>
      <w:r>
        <w:t xml:space="preserve">:</w:t>
      </w:r>
      <w:r>
        <w:t xml:space="preserve"> </w:t>
      </w:r>
      <w:r>
        <w:t xml:space="preserve">- „Gab es Fieber?“</w:t>
      </w:r>
      <w:r>
        <w:t xml:space="preserve"> </w:t>
      </w:r>
      <w:r>
        <w:t xml:space="preserve">- „Gab es Bewusstseinsverlust?“</w:t>
      </w:r>
    </w:p>
    <w:p>
      <w:pPr>
        <w:pStyle w:val="BodyText"/>
      </w:pPr>
      <w:r>
        <w:t xml:space="preserve">Negativa werden als</w:t>
      </w:r>
      <w:r>
        <w:t xml:space="preserve"> </w:t>
      </w:r>
      <w:r>
        <w:rPr>
          <w:b/>
          <w:bCs/>
        </w:rPr>
        <w:t xml:space="preserve">EvidenceItems</w:t>
      </w:r>
      <w:r>
        <w:t xml:space="preserve"> </w:t>
      </w:r>
      <w:r>
        <w:t xml:space="preserve">dokumentiert (≠ fehlend).</w:t>
      </w:r>
    </w:p>
    <w:p>
      <w:r>
        <w:pict>
          <v:rect style="width:0;height:1.5pt" o:hralign="center" o:hrstd="t" o:hr="t"/>
        </w:pict>
      </w:r>
    </w:p>
    <w:bookmarkEnd w:id="30"/>
    <w:bookmarkStart w:id="31" w:name="sprachliche-kulturelle-anpassung"/>
    <w:p>
      <w:pPr>
        <w:pStyle w:val="Heading2"/>
      </w:pPr>
      <w:r>
        <w:t xml:space="preserve">7) Sprachliche &amp; kulturelle Anpassung</w:t>
      </w:r>
    </w:p>
    <w:p>
      <w:pPr>
        <w:pStyle w:val="Compact"/>
        <w:numPr>
          <w:ilvl w:val="0"/>
          <w:numId w:val="1006"/>
        </w:numPr>
      </w:pPr>
      <w:r>
        <w:t xml:space="preserve">Alltagssprache für alle W‑Fragen</w:t>
      </w:r>
    </w:p>
    <w:p>
      <w:pPr>
        <w:pStyle w:val="Compact"/>
        <w:numPr>
          <w:ilvl w:val="0"/>
          <w:numId w:val="1006"/>
        </w:numPr>
      </w:pPr>
      <w:r>
        <w:t xml:space="preserve">Cultural Symptom Normalizer aktiv</w:t>
      </w:r>
    </w:p>
    <w:p>
      <w:pPr>
        <w:pStyle w:val="Compact"/>
        <w:numPr>
          <w:ilvl w:val="0"/>
          <w:numId w:val="1006"/>
        </w:numPr>
      </w:pPr>
      <w:r>
        <w:t xml:space="preserve">Teach‑Back‑Loop nach Abschluss:</w:t>
      </w:r>
      <w:r>
        <w:t xml:space="preserve"> </w:t>
      </w:r>
      <w:r>
        <w:t xml:space="preserve">&gt; „Habe ich richtig verstanden, dass …?“</w:t>
      </w:r>
    </w:p>
    <w:p>
      <w:r>
        <w:pict>
          <v:rect style="width:0;height:1.5pt" o:hralign="center" o:hrstd="t" o:hr="t"/>
        </w:pict>
      </w:r>
    </w:p>
    <w:bookmarkEnd w:id="31"/>
    <w:bookmarkStart w:id="34" w:name="output-der-symptombezogenen-anamnese"/>
    <w:p>
      <w:pPr>
        <w:pStyle w:val="Heading2"/>
      </w:pPr>
      <w:r>
        <w:t xml:space="preserve">8) Output der symptombezogenen Anamnese</w:t>
      </w:r>
    </w:p>
    <w:bookmarkStart w:id="32" w:name="ärztlich-sichtbar"/>
    <w:p>
      <w:pPr>
        <w:pStyle w:val="Heading3"/>
      </w:pPr>
      <w:r>
        <w:t xml:space="preserve">Ärztlich sichtbar</w:t>
      </w:r>
    </w:p>
    <w:p>
      <w:pPr>
        <w:pStyle w:val="Compact"/>
        <w:numPr>
          <w:ilvl w:val="0"/>
          <w:numId w:val="1007"/>
        </w:numPr>
      </w:pPr>
      <w:r>
        <w:t xml:space="preserve">strukturierte OPQRST‑Sektion</w:t>
      </w:r>
    </w:p>
    <w:p>
      <w:pPr>
        <w:pStyle w:val="Compact"/>
        <w:numPr>
          <w:ilvl w:val="0"/>
          <w:numId w:val="1007"/>
        </w:numPr>
      </w:pPr>
      <w:r>
        <w:t xml:space="preserve">narrative Zusammenfassung</w:t>
      </w:r>
    </w:p>
    <w:p>
      <w:pPr>
        <w:pStyle w:val="Compact"/>
        <w:numPr>
          <w:ilvl w:val="0"/>
          <w:numId w:val="1007"/>
        </w:numPr>
      </w:pPr>
      <w:r>
        <w:t xml:space="preserve">explizite Negativa</w:t>
      </w:r>
    </w:p>
    <w:bookmarkEnd w:id="32"/>
    <w:bookmarkStart w:id="33" w:name="systemintern"/>
    <w:p>
      <w:pPr>
        <w:pStyle w:val="Heading3"/>
      </w:pPr>
      <w:r>
        <w:t xml:space="preserve">Systemintern</w:t>
      </w:r>
    </w:p>
    <w:p>
      <w:pPr>
        <w:pStyle w:val="Compact"/>
        <w:numPr>
          <w:ilvl w:val="0"/>
          <w:numId w:val="1008"/>
        </w:numPr>
      </w:pPr>
      <w:r>
        <w:t xml:space="preserve">EvidenceItems pro W‑Frage</w:t>
      </w:r>
    </w:p>
    <w:p>
      <w:pPr>
        <w:pStyle w:val="Compact"/>
        <w:numPr>
          <w:ilvl w:val="0"/>
          <w:numId w:val="1008"/>
        </w:numPr>
      </w:pPr>
      <w:r>
        <w:t xml:space="preserve">Red‑Flag‑Triggerpunkte</w:t>
      </w:r>
    </w:p>
    <w:p>
      <w:pPr>
        <w:pStyle w:val="Compact"/>
        <w:numPr>
          <w:ilvl w:val="0"/>
          <w:numId w:val="1008"/>
        </w:numPr>
      </w:pPr>
      <w:r>
        <w:t xml:space="preserve">Hypothesen‑Input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4269b92dd6029bf41d3a4413a10b921d3277a44"/>
    <w:p>
      <w:pPr>
        <w:pStyle w:val="Heading2"/>
      </w:pPr>
      <w:r>
        <w:t xml:space="preserve">9) Typische Fehler, die dieses Canvas verhindert</w:t>
      </w:r>
    </w:p>
    <w:p>
      <w:pPr>
        <w:pStyle w:val="Compact"/>
        <w:numPr>
          <w:ilvl w:val="0"/>
          <w:numId w:val="1009"/>
        </w:numPr>
      </w:pPr>
      <w:r>
        <w:t xml:space="preserve">unvollständige Schmerzanamnese</w:t>
      </w:r>
    </w:p>
    <w:p>
      <w:pPr>
        <w:pStyle w:val="Compact"/>
        <w:numPr>
          <w:ilvl w:val="0"/>
          <w:numId w:val="1009"/>
        </w:numPr>
      </w:pPr>
      <w:r>
        <w:t xml:space="preserve">fehlende zeitliche Einordnung</w:t>
      </w:r>
    </w:p>
    <w:p>
      <w:pPr>
        <w:pStyle w:val="Compact"/>
        <w:numPr>
          <w:ilvl w:val="0"/>
          <w:numId w:val="1009"/>
        </w:numPr>
      </w:pPr>
      <w:r>
        <w:t xml:space="preserve">Übersehen von Ausstrahlung</w:t>
      </w:r>
    </w:p>
    <w:p>
      <w:pPr>
        <w:pStyle w:val="Compact"/>
        <w:numPr>
          <w:ilvl w:val="0"/>
          <w:numId w:val="1009"/>
        </w:numPr>
      </w:pPr>
      <w:r>
        <w:t xml:space="preserve">Missachtung der Patientenvorstellung („Warum heute?“)</w:t>
      </w:r>
    </w:p>
    <w:p>
      <w:r>
        <w:pict>
          <v:rect style="width:0;height:1.5pt" o:hralign="center" o:hrstd="t" o:hr="t"/>
        </w:pict>
      </w:r>
    </w:p>
    <w:bookmarkEnd w:id="35"/>
    <w:bookmarkStart w:id="36" w:name="beispiel-kurz-akuter-brustschmerz"/>
    <w:p>
      <w:pPr>
        <w:pStyle w:val="Heading2"/>
      </w:pPr>
      <w:r>
        <w:t xml:space="preserve">10) Beispiel (Kurz): Akuter Brustschmerz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Was:</w:t>
      </w:r>
      <w:r>
        <w:t xml:space="preserve"> </w:t>
      </w:r>
      <w:r>
        <w:t xml:space="preserve">drückender Schmerz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Wo:</w:t>
      </w:r>
      <w:r>
        <w:t xml:space="preserve"> </w:t>
      </w:r>
      <w:r>
        <w:t xml:space="preserve">retrosternal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Wann:</w:t>
      </w:r>
      <w:r>
        <w:t xml:space="preserve"> </w:t>
      </w:r>
      <w:r>
        <w:t xml:space="preserve">plötzlich seit 30 Min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Wie:</w:t>
      </w:r>
      <w:r>
        <w:t xml:space="preserve"> </w:t>
      </w:r>
      <w:r>
        <w:t xml:space="preserve">Druckgefühl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Wie stark:</w:t>
      </w:r>
      <w:r>
        <w:t xml:space="preserve"> </w:t>
      </w:r>
      <w:r>
        <w:t xml:space="preserve">8/10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Wohin:</w:t>
      </w:r>
      <w:r>
        <w:t xml:space="preserve"> </w:t>
      </w:r>
      <w:r>
        <w:t xml:space="preserve">linker Arm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Wie lange:</w:t>
      </w:r>
      <w:r>
        <w:t xml:space="preserve"> </w:t>
      </w:r>
      <w:r>
        <w:t xml:space="preserve">anhaltend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Wodurch:</w:t>
      </w:r>
      <w:r>
        <w:t xml:space="preserve"> </w:t>
      </w:r>
      <w:r>
        <w:t xml:space="preserve">Belastung, keine Linderung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Welche:</w:t>
      </w:r>
      <w:r>
        <w:t xml:space="preserve"> </w:t>
      </w:r>
      <w:r>
        <w:t xml:space="preserve">Dyspnoe, Übelkeit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Warum:</w:t>
      </w:r>
      <w:r>
        <w:t xml:space="preserve"> </w:t>
      </w:r>
      <w:r>
        <w:t xml:space="preserve">Angst vor Herzinfarkt</w:t>
      </w:r>
    </w:p>
    <w:p>
      <w:pPr>
        <w:pStyle w:val="FirstParagraph"/>
      </w:pPr>
      <w:r>
        <w:t xml:space="preserve">➡️</w:t>
      </w:r>
      <w:r>
        <w:t xml:space="preserve"> </w:t>
      </w:r>
      <w:r>
        <w:rPr>
          <w:b/>
          <w:bCs/>
        </w:rPr>
        <w:t xml:space="preserve">Hard Stop – sofortige Eskalation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Unter‑Canvas v1 – Sicherheitskritisches Kernmodul</w:t>
      </w:r>
      <w:r>
        <w:br/>
      </w:r>
      <w:r>
        <w:rPr>
          <w:b/>
          <w:bCs/>
        </w:rPr>
        <w:t xml:space="preserve">Beziehung:</w:t>
      </w:r>
      <w:r>
        <w:t xml:space="preserve"> </w:t>
      </w:r>
      <w:r>
        <w:t xml:space="preserve">Ergänzt Canvas 2 (Intake Package) &amp; Canvas 3 (Reasoning)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2026-02-09T12:17:18Z</dcterms:created>
  <dcterms:modified xsi:type="dcterms:W3CDTF">2026-02-09T12:17:18Z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